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3" w:rsidRPr="001548E4" w:rsidRDefault="00B467C3" w:rsidP="00B467C3">
      <w:pPr>
        <w:jc w:val="center"/>
      </w:pPr>
      <w:r>
        <w:rPr>
          <w:noProof/>
        </w:rPr>
        <w:drawing>
          <wp:inline distT="0" distB="0" distL="0" distR="0">
            <wp:extent cx="695960" cy="884555"/>
            <wp:effectExtent l="19050" t="0" r="889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C3" w:rsidRPr="001548E4" w:rsidRDefault="00B467C3" w:rsidP="00B467C3">
      <w:pPr>
        <w:pStyle w:val="8"/>
        <w:jc w:val="right"/>
      </w:pPr>
      <w:r w:rsidRPr="001548E4">
        <w:t xml:space="preserve">                                                                                             </w:t>
      </w:r>
    </w:p>
    <w:p w:rsidR="00B467C3" w:rsidRPr="00750B9D" w:rsidRDefault="00B467C3" w:rsidP="00B467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50B9D">
        <w:rPr>
          <w:rFonts w:ascii="Times New Roman CYR" w:hAnsi="Times New Roman CYR" w:cs="Times New Roman CYR"/>
          <w:b/>
          <w:bCs/>
          <w:sz w:val="22"/>
          <w:szCs w:val="22"/>
        </w:rPr>
        <w:t>СЕЛЬСКОЕ ПОСЕЛЕНИЕ СОСНОВКА</w:t>
      </w:r>
    </w:p>
    <w:p w:rsidR="00B467C3" w:rsidRDefault="00B467C3" w:rsidP="00B467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50B9D">
        <w:rPr>
          <w:rFonts w:ascii="Times New Roman CYR" w:hAnsi="Times New Roman CYR" w:cs="Times New Roman CYR"/>
          <w:b/>
          <w:sz w:val="22"/>
          <w:szCs w:val="22"/>
        </w:rPr>
        <w:t>БЕЛОЯРСКИЙ РАЙОН</w:t>
      </w:r>
    </w:p>
    <w:p w:rsidR="00B467C3" w:rsidRDefault="00B467C3" w:rsidP="00B467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ХАНТЫ-МАНСИЙСКИЙ АВТОНОМНЫЙ ОКРУГ - ЮГРА</w:t>
      </w:r>
    </w:p>
    <w:p w:rsidR="00B467C3" w:rsidRPr="001548E4" w:rsidRDefault="00B467C3" w:rsidP="00B467C3">
      <w:pPr>
        <w:keepNext/>
        <w:widowControl w:val="0"/>
        <w:tabs>
          <w:tab w:val="center" w:pos="4677"/>
          <w:tab w:val="left" w:pos="843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B467C3" w:rsidRDefault="00B467C3" w:rsidP="00B467C3">
      <w:pPr>
        <w:jc w:val="right"/>
      </w:pPr>
    </w:p>
    <w:p w:rsidR="00B467C3" w:rsidRPr="009842A3" w:rsidRDefault="00B467C3" w:rsidP="00B467C3">
      <w:pPr>
        <w:pStyle w:val="5"/>
        <w:rPr>
          <w:spacing w:val="0"/>
          <w:sz w:val="28"/>
        </w:rPr>
      </w:pPr>
      <w:r w:rsidRPr="001548E4">
        <w:rPr>
          <w:spacing w:val="0"/>
          <w:sz w:val="28"/>
        </w:rPr>
        <w:t>АДМИНИСТРАЦИЯ СЕЛЬСКОГО ПОСЕЛЕНИЯ СОСНОВКА</w:t>
      </w:r>
    </w:p>
    <w:p w:rsidR="00B467C3" w:rsidRPr="001548E4" w:rsidRDefault="00B467C3" w:rsidP="00B467C3"/>
    <w:p w:rsidR="00B467C3" w:rsidRPr="001548E4" w:rsidRDefault="00B467C3" w:rsidP="00B467C3">
      <w:pPr>
        <w:keepNext/>
        <w:widowControl w:val="0"/>
        <w:tabs>
          <w:tab w:val="center" w:pos="4677"/>
          <w:tab w:val="left" w:pos="8430"/>
        </w:tabs>
        <w:autoSpaceDE w:val="0"/>
        <w:autoSpaceDN w:val="0"/>
        <w:adjustRightInd w:val="0"/>
        <w:jc w:val="right"/>
      </w:pPr>
    </w:p>
    <w:p w:rsidR="00B467C3" w:rsidRPr="001548E4" w:rsidRDefault="00B467C3" w:rsidP="00B467C3">
      <w:pPr>
        <w:pStyle w:val="1"/>
      </w:pPr>
      <w:r w:rsidRPr="001548E4">
        <w:t>ПОСТАНОВЛЕНИЕ</w:t>
      </w:r>
    </w:p>
    <w:p w:rsidR="00B467C3" w:rsidRPr="00DC4EF5" w:rsidRDefault="00B467C3" w:rsidP="00B467C3">
      <w:pPr>
        <w:ind w:left="7767" w:firstLine="153"/>
        <w:jc w:val="center"/>
        <w:rPr>
          <w:b/>
        </w:rPr>
      </w:pPr>
      <w:r w:rsidRPr="001548E4">
        <w:tab/>
      </w:r>
    </w:p>
    <w:p w:rsidR="00B467C3" w:rsidRPr="00DC4EF5" w:rsidRDefault="00B467C3" w:rsidP="00B467C3">
      <w:pPr>
        <w:tabs>
          <w:tab w:val="left" w:pos="1701"/>
        </w:tabs>
        <w:ind w:left="567"/>
      </w:pPr>
    </w:p>
    <w:p w:rsidR="00B467C3" w:rsidRPr="001548E4" w:rsidRDefault="00B467C3" w:rsidP="00B467C3">
      <w:r>
        <w:t>от 29 октября</w:t>
      </w:r>
      <w:r w:rsidRPr="001548E4">
        <w:t xml:space="preserve"> 201</w:t>
      </w:r>
      <w:r>
        <w:t>5</w:t>
      </w:r>
      <w:r w:rsidRPr="001548E4">
        <w:t xml:space="preserve"> года</w:t>
      </w:r>
      <w:r w:rsidRPr="001548E4">
        <w:tab/>
      </w:r>
      <w:r w:rsidRPr="001548E4">
        <w:tab/>
        <w:t xml:space="preserve">                                                                              </w:t>
      </w:r>
      <w:r>
        <w:t xml:space="preserve">     </w:t>
      </w:r>
      <w:r w:rsidRPr="001548E4">
        <w:t xml:space="preserve">   №</w:t>
      </w:r>
      <w:r>
        <w:t xml:space="preserve"> 103</w:t>
      </w:r>
    </w:p>
    <w:p w:rsidR="00B467C3" w:rsidRPr="00A92773" w:rsidRDefault="00B467C3" w:rsidP="00B467C3">
      <w:pPr>
        <w:tabs>
          <w:tab w:val="left" w:pos="900"/>
          <w:tab w:val="left" w:pos="1701"/>
        </w:tabs>
        <w:ind w:left="567"/>
      </w:pPr>
      <w:r w:rsidRPr="001548E4">
        <w:tab/>
      </w:r>
      <w:r w:rsidRPr="001548E4">
        <w:tab/>
      </w:r>
      <w:r w:rsidRPr="001548E4">
        <w:tab/>
      </w:r>
      <w:r w:rsidRPr="001548E4">
        <w:tab/>
      </w:r>
      <w:r w:rsidRPr="001548E4">
        <w:tab/>
      </w:r>
      <w:r w:rsidRPr="001548E4">
        <w:tab/>
      </w:r>
      <w:r w:rsidRPr="001548E4">
        <w:tab/>
      </w:r>
      <w:r w:rsidRPr="001548E4">
        <w:tab/>
      </w:r>
      <w:r w:rsidRPr="001548E4">
        <w:tab/>
        <w:t xml:space="preserve"> </w:t>
      </w:r>
    </w:p>
    <w:p w:rsidR="00B467C3" w:rsidRPr="00A92773" w:rsidRDefault="00B467C3" w:rsidP="00B467C3">
      <w:pPr>
        <w:tabs>
          <w:tab w:val="left" w:pos="1418"/>
        </w:tabs>
        <w:ind w:left="567"/>
        <w:jc w:val="center"/>
        <w:rPr>
          <w:b/>
        </w:rPr>
      </w:pPr>
    </w:p>
    <w:p w:rsidR="00B467C3" w:rsidRDefault="00B467C3" w:rsidP="00B467C3">
      <w:pPr>
        <w:jc w:val="center"/>
        <w:rPr>
          <w:b/>
        </w:rPr>
      </w:pPr>
      <w:r w:rsidRPr="001548E4">
        <w:rPr>
          <w:b/>
        </w:rPr>
        <w:t xml:space="preserve">О прогнозе социально-экономического развития сельского поселения Сосновка </w:t>
      </w:r>
    </w:p>
    <w:p w:rsidR="00B467C3" w:rsidRPr="001548E4" w:rsidRDefault="00B467C3" w:rsidP="00B467C3">
      <w:pPr>
        <w:jc w:val="center"/>
        <w:rPr>
          <w:b/>
        </w:rPr>
      </w:pPr>
      <w:r w:rsidRPr="001548E4">
        <w:rPr>
          <w:b/>
        </w:rPr>
        <w:t>на 201</w:t>
      </w:r>
      <w:r>
        <w:rPr>
          <w:b/>
        </w:rPr>
        <w:t>6</w:t>
      </w:r>
      <w:r w:rsidRPr="001548E4">
        <w:rPr>
          <w:b/>
        </w:rPr>
        <w:t xml:space="preserve"> год и плановый период 201</w:t>
      </w:r>
      <w:r>
        <w:rPr>
          <w:b/>
        </w:rPr>
        <w:t>7</w:t>
      </w:r>
      <w:r w:rsidRPr="001548E4">
        <w:rPr>
          <w:b/>
        </w:rPr>
        <w:t xml:space="preserve"> и 201</w:t>
      </w:r>
      <w:r>
        <w:rPr>
          <w:b/>
        </w:rPr>
        <w:t>8</w:t>
      </w:r>
      <w:r w:rsidRPr="001548E4">
        <w:rPr>
          <w:b/>
        </w:rPr>
        <w:t xml:space="preserve"> годов</w:t>
      </w:r>
    </w:p>
    <w:p w:rsidR="00B467C3" w:rsidRDefault="00B467C3" w:rsidP="00B467C3">
      <w:pPr>
        <w:tabs>
          <w:tab w:val="left" w:pos="1418"/>
        </w:tabs>
        <w:ind w:left="567"/>
        <w:jc w:val="center"/>
        <w:rPr>
          <w:b/>
        </w:rPr>
      </w:pPr>
    </w:p>
    <w:p w:rsidR="00B467C3" w:rsidRPr="001548E4" w:rsidRDefault="00B467C3" w:rsidP="00B467C3">
      <w:pPr>
        <w:tabs>
          <w:tab w:val="left" w:pos="1418"/>
        </w:tabs>
        <w:ind w:left="567"/>
        <w:jc w:val="center"/>
        <w:rPr>
          <w:b/>
        </w:rPr>
      </w:pPr>
    </w:p>
    <w:p w:rsidR="00B467C3" w:rsidRPr="001548E4" w:rsidRDefault="00B467C3" w:rsidP="00B467C3">
      <w:pPr>
        <w:tabs>
          <w:tab w:val="left" w:pos="1418"/>
        </w:tabs>
        <w:ind w:left="567"/>
        <w:jc w:val="center"/>
        <w:rPr>
          <w:b/>
        </w:rPr>
      </w:pPr>
    </w:p>
    <w:p w:rsidR="00B467C3" w:rsidRPr="001548E4" w:rsidRDefault="00B467C3" w:rsidP="00B467C3">
      <w:pPr>
        <w:autoSpaceDE w:val="0"/>
        <w:autoSpaceDN w:val="0"/>
        <w:adjustRightInd w:val="0"/>
        <w:ind w:firstLine="720"/>
        <w:jc w:val="both"/>
      </w:pPr>
      <w:r w:rsidRPr="001548E4">
        <w:t xml:space="preserve">В соответствии со статьей 173 Бюджетного кодекса Российской Федерации от                31 июля 1998 года № 145-ФЗ, постановлением администрации Белоярского района от               </w:t>
      </w:r>
      <w:r>
        <w:t>04 августа 2015 года № 969 «Об утверждении Порядка</w:t>
      </w:r>
      <w:r w:rsidRPr="00164AF2">
        <w:t xml:space="preserve"> разработки прогнозов социально-экономического развития городского и сельских поселений в границах Белоярского района» </w:t>
      </w:r>
      <w:r w:rsidRPr="001548E4">
        <w:t>п о с т а н о в л я ю:</w:t>
      </w:r>
    </w:p>
    <w:p w:rsidR="00B467C3" w:rsidRPr="001548E4" w:rsidRDefault="00B467C3" w:rsidP="00B467C3">
      <w:pPr>
        <w:ind w:firstLine="720"/>
        <w:jc w:val="both"/>
      </w:pPr>
      <w:r w:rsidRPr="001548E4">
        <w:t>1. Одобрить прогноз социально-экономического развития сельского поселения Сосновка на 201</w:t>
      </w:r>
      <w:r>
        <w:t>6</w:t>
      </w:r>
      <w:r w:rsidRPr="001548E4">
        <w:t xml:space="preserve"> год  и плановый период  201</w:t>
      </w:r>
      <w:r>
        <w:t>7</w:t>
      </w:r>
      <w:r w:rsidRPr="001548E4">
        <w:t xml:space="preserve"> и 201</w:t>
      </w:r>
      <w:r>
        <w:t>8</w:t>
      </w:r>
      <w:r w:rsidRPr="001548E4">
        <w:t xml:space="preserve"> годов</w:t>
      </w:r>
      <w:r>
        <w:t xml:space="preserve"> (далее – Прогноз)</w:t>
      </w:r>
      <w:r w:rsidRPr="001548E4">
        <w:t xml:space="preserve"> согласно приложению к настоящему постановлению.</w:t>
      </w:r>
    </w:p>
    <w:p w:rsidR="00B467C3" w:rsidRPr="001548E4" w:rsidRDefault="00B467C3" w:rsidP="00B467C3">
      <w:pPr>
        <w:ind w:firstLine="720"/>
        <w:jc w:val="both"/>
      </w:pPr>
      <w:r w:rsidRPr="001548E4">
        <w:t xml:space="preserve">2. </w:t>
      </w:r>
      <w:r>
        <w:t xml:space="preserve">При формировании </w:t>
      </w:r>
      <w:r w:rsidRPr="001548E4">
        <w:t>проек</w:t>
      </w:r>
      <w:r>
        <w:t>та</w:t>
      </w:r>
      <w:r w:rsidRPr="001548E4">
        <w:t xml:space="preserve"> бюджета сельского поселения Сосновка на 201</w:t>
      </w:r>
      <w:r>
        <w:t>6</w:t>
      </w:r>
      <w:r w:rsidRPr="001548E4">
        <w:t xml:space="preserve"> год </w:t>
      </w:r>
      <w:r>
        <w:t>считать исходным первый (базовый) вариант Прогноза.</w:t>
      </w:r>
    </w:p>
    <w:p w:rsidR="00B467C3" w:rsidRPr="001548E4" w:rsidRDefault="00B467C3" w:rsidP="00B467C3">
      <w:pPr>
        <w:ind w:firstLine="720"/>
        <w:jc w:val="both"/>
      </w:pPr>
      <w:r w:rsidRPr="001548E4">
        <w:t>3. Опубликовать настоящее постановление в газете «Белоярские вести».</w:t>
      </w:r>
    </w:p>
    <w:p w:rsidR="00B467C3" w:rsidRPr="001548E4" w:rsidRDefault="00B467C3" w:rsidP="00B467C3">
      <w:pPr>
        <w:ind w:firstLine="720"/>
        <w:jc w:val="both"/>
      </w:pPr>
      <w:r w:rsidRPr="001548E4">
        <w:t>4. Настоящее постановление вступает в силу после его официального опубликования.</w:t>
      </w:r>
    </w:p>
    <w:p w:rsidR="00B467C3" w:rsidRPr="00DC4EF5" w:rsidRDefault="00B467C3" w:rsidP="00B467C3">
      <w:pPr>
        <w:ind w:firstLine="720"/>
        <w:jc w:val="both"/>
      </w:pPr>
      <w:r w:rsidRPr="001548E4">
        <w:tab/>
      </w:r>
    </w:p>
    <w:p w:rsidR="00B467C3" w:rsidRDefault="00B467C3" w:rsidP="00B467C3">
      <w:pPr>
        <w:pStyle w:val="6"/>
        <w:tabs>
          <w:tab w:val="clear" w:pos="1134"/>
          <w:tab w:val="left" w:pos="720"/>
        </w:tabs>
        <w:ind w:left="0" w:right="-1"/>
        <w:rPr>
          <w:color w:val="FF0000"/>
          <w:szCs w:val="24"/>
        </w:rPr>
      </w:pPr>
    </w:p>
    <w:p w:rsidR="00B467C3" w:rsidRPr="00042541" w:rsidRDefault="00B467C3" w:rsidP="00B467C3"/>
    <w:p w:rsidR="00B467C3" w:rsidRPr="00042541" w:rsidRDefault="00B467C3" w:rsidP="00B467C3">
      <w:pPr>
        <w:pStyle w:val="6"/>
        <w:tabs>
          <w:tab w:val="clear" w:pos="1134"/>
          <w:tab w:val="left" w:pos="720"/>
        </w:tabs>
        <w:ind w:left="0" w:right="-1"/>
        <w:rPr>
          <w:szCs w:val="24"/>
        </w:rPr>
      </w:pPr>
      <w:r w:rsidRPr="00042541">
        <w:rPr>
          <w:szCs w:val="24"/>
        </w:rPr>
        <w:t>Исполняющий обязанности</w:t>
      </w:r>
    </w:p>
    <w:p w:rsidR="00B467C3" w:rsidRPr="00CE5E65" w:rsidRDefault="00B467C3" w:rsidP="00B467C3">
      <w:pPr>
        <w:pStyle w:val="6"/>
        <w:tabs>
          <w:tab w:val="clear" w:pos="1134"/>
          <w:tab w:val="left" w:pos="720"/>
        </w:tabs>
        <w:ind w:left="0" w:right="-1"/>
      </w:pPr>
      <w:r>
        <w:t>главы сельского поселения Сосновка</w:t>
      </w:r>
      <w:r w:rsidRPr="00CE5E65">
        <w:t xml:space="preserve">                     </w:t>
      </w:r>
      <w:r>
        <w:t xml:space="preserve">                                         </w:t>
      </w:r>
      <w:r w:rsidRPr="00CE5E65">
        <w:t xml:space="preserve">  </w:t>
      </w:r>
      <w:r>
        <w:t>В.П. Кузьминых</w:t>
      </w: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  <w:szCs w:val="24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  <w:szCs w:val="24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  <w:szCs w:val="24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</w:pPr>
    </w:p>
    <w:p w:rsidR="00B467C3" w:rsidRPr="00102E4D" w:rsidRDefault="00B467C3" w:rsidP="00B467C3">
      <w:pPr>
        <w:pStyle w:val="2"/>
        <w:spacing w:after="0" w:line="240" w:lineRule="auto"/>
        <w:ind w:left="4860" w:firstLine="5040"/>
        <w:jc w:val="center"/>
        <w:rPr>
          <w:color w:val="FF0000"/>
        </w:rPr>
        <w:sectPr w:rsidR="00B467C3" w:rsidRPr="00102E4D" w:rsidSect="00376B9D">
          <w:footerReference w:type="even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B467C3" w:rsidRPr="001548E4" w:rsidRDefault="00B467C3" w:rsidP="00B467C3">
      <w:pPr>
        <w:pStyle w:val="2"/>
        <w:spacing w:after="0" w:line="240" w:lineRule="auto"/>
        <w:ind w:left="4860" w:firstLine="5040"/>
        <w:jc w:val="center"/>
        <w:rPr>
          <w:szCs w:val="24"/>
        </w:rPr>
      </w:pPr>
      <w:r w:rsidRPr="001548E4">
        <w:rPr>
          <w:szCs w:val="24"/>
        </w:rPr>
        <w:lastRenderedPageBreak/>
        <w:t xml:space="preserve">ПРИЛОЖЕНИЕ </w:t>
      </w:r>
    </w:p>
    <w:p w:rsidR="00B467C3" w:rsidRPr="001548E4" w:rsidRDefault="00B467C3" w:rsidP="00B467C3">
      <w:pPr>
        <w:pStyle w:val="2"/>
        <w:spacing w:after="0" w:line="240" w:lineRule="auto"/>
        <w:ind w:left="4680" w:firstLine="5040"/>
        <w:jc w:val="center"/>
        <w:rPr>
          <w:szCs w:val="24"/>
        </w:rPr>
      </w:pPr>
      <w:r w:rsidRPr="001548E4">
        <w:rPr>
          <w:szCs w:val="24"/>
        </w:rPr>
        <w:t>к постановлению администрации</w:t>
      </w:r>
    </w:p>
    <w:p w:rsidR="00B467C3" w:rsidRPr="001548E4" w:rsidRDefault="00B467C3" w:rsidP="00B467C3">
      <w:pPr>
        <w:pStyle w:val="2"/>
        <w:spacing w:after="0" w:line="240" w:lineRule="auto"/>
        <w:ind w:left="4680" w:firstLine="5040"/>
        <w:jc w:val="center"/>
        <w:rPr>
          <w:szCs w:val="24"/>
        </w:rPr>
      </w:pPr>
      <w:r w:rsidRPr="001548E4">
        <w:rPr>
          <w:szCs w:val="24"/>
        </w:rPr>
        <w:t>сельского поселения Сосновка</w:t>
      </w:r>
    </w:p>
    <w:p w:rsidR="00B467C3" w:rsidRPr="001548E4" w:rsidRDefault="00B467C3" w:rsidP="00B467C3">
      <w:pPr>
        <w:pStyle w:val="2"/>
        <w:spacing w:after="0" w:line="240" w:lineRule="auto"/>
        <w:ind w:left="4680" w:firstLine="5040"/>
        <w:jc w:val="center"/>
        <w:rPr>
          <w:szCs w:val="24"/>
        </w:rPr>
      </w:pPr>
      <w:r>
        <w:rPr>
          <w:szCs w:val="24"/>
        </w:rPr>
        <w:t xml:space="preserve">от 29 октября </w:t>
      </w:r>
      <w:r w:rsidRPr="001548E4">
        <w:rPr>
          <w:szCs w:val="24"/>
        </w:rPr>
        <w:t>201</w:t>
      </w:r>
      <w:r>
        <w:rPr>
          <w:szCs w:val="24"/>
        </w:rPr>
        <w:t>5</w:t>
      </w:r>
      <w:r w:rsidRPr="001548E4">
        <w:rPr>
          <w:szCs w:val="24"/>
        </w:rPr>
        <w:t xml:space="preserve"> года №</w:t>
      </w:r>
      <w:r>
        <w:rPr>
          <w:szCs w:val="24"/>
        </w:rPr>
        <w:t xml:space="preserve"> 103     </w:t>
      </w:r>
      <w:r w:rsidRPr="001548E4">
        <w:rPr>
          <w:szCs w:val="24"/>
        </w:rPr>
        <w:t xml:space="preserve"> </w:t>
      </w:r>
    </w:p>
    <w:p w:rsidR="00B467C3" w:rsidRPr="001548E4" w:rsidRDefault="00B467C3" w:rsidP="00B467C3">
      <w:pPr>
        <w:jc w:val="center"/>
        <w:rPr>
          <w:b/>
        </w:rPr>
      </w:pPr>
    </w:p>
    <w:p w:rsidR="00B467C3" w:rsidRPr="001548E4" w:rsidRDefault="00B467C3" w:rsidP="00B467C3">
      <w:pPr>
        <w:jc w:val="center"/>
        <w:rPr>
          <w:b/>
        </w:rPr>
      </w:pPr>
    </w:p>
    <w:p w:rsidR="00B467C3" w:rsidRPr="001548E4" w:rsidRDefault="00B467C3" w:rsidP="00B467C3">
      <w:pPr>
        <w:jc w:val="center"/>
        <w:rPr>
          <w:b/>
        </w:rPr>
      </w:pPr>
      <w:r w:rsidRPr="001548E4">
        <w:rPr>
          <w:b/>
        </w:rPr>
        <w:t>П Р О Г Н О З</w:t>
      </w:r>
    </w:p>
    <w:p w:rsidR="00B467C3" w:rsidRPr="001548E4" w:rsidRDefault="00B467C3" w:rsidP="00B467C3">
      <w:pPr>
        <w:jc w:val="center"/>
        <w:rPr>
          <w:b/>
        </w:rPr>
      </w:pPr>
      <w:r w:rsidRPr="001548E4">
        <w:rPr>
          <w:b/>
        </w:rPr>
        <w:t>социально-экономического развития сельского поселения Сосновка</w:t>
      </w:r>
    </w:p>
    <w:p w:rsidR="00B467C3" w:rsidRPr="001548E4" w:rsidRDefault="00B467C3" w:rsidP="00B467C3">
      <w:pPr>
        <w:jc w:val="center"/>
        <w:rPr>
          <w:b/>
        </w:rPr>
      </w:pPr>
      <w:r w:rsidRPr="001548E4">
        <w:rPr>
          <w:b/>
        </w:rPr>
        <w:t>на 201</w:t>
      </w:r>
      <w:r>
        <w:rPr>
          <w:b/>
        </w:rPr>
        <w:t>6</w:t>
      </w:r>
      <w:r w:rsidRPr="001548E4">
        <w:rPr>
          <w:b/>
        </w:rPr>
        <w:t xml:space="preserve"> год и плановый период 201</w:t>
      </w:r>
      <w:r>
        <w:rPr>
          <w:b/>
        </w:rPr>
        <w:t>7</w:t>
      </w:r>
      <w:r w:rsidRPr="001548E4">
        <w:rPr>
          <w:b/>
        </w:rPr>
        <w:t xml:space="preserve"> и 201</w:t>
      </w:r>
      <w:r>
        <w:rPr>
          <w:b/>
        </w:rPr>
        <w:t>7</w:t>
      </w:r>
      <w:r w:rsidRPr="001548E4">
        <w:rPr>
          <w:b/>
        </w:rPr>
        <w:t xml:space="preserve"> годов</w:t>
      </w:r>
    </w:p>
    <w:p w:rsidR="00B467C3" w:rsidRPr="00102E4D" w:rsidRDefault="00B467C3" w:rsidP="00B467C3">
      <w:pPr>
        <w:jc w:val="center"/>
        <w:rPr>
          <w:b/>
          <w:color w:val="FF0000"/>
        </w:rPr>
      </w:pPr>
    </w:p>
    <w:p w:rsidR="00B467C3" w:rsidRPr="00102E4D" w:rsidRDefault="00B467C3" w:rsidP="00B467C3">
      <w:pPr>
        <w:jc w:val="center"/>
        <w:rPr>
          <w:b/>
          <w:color w:val="FF0000"/>
        </w:rPr>
      </w:pPr>
    </w:p>
    <w:tbl>
      <w:tblPr>
        <w:tblW w:w="5120" w:type="pct"/>
        <w:tblLayout w:type="fixed"/>
        <w:tblLook w:val="0000"/>
      </w:tblPr>
      <w:tblGrid>
        <w:gridCol w:w="2446"/>
        <w:gridCol w:w="1438"/>
        <w:gridCol w:w="1260"/>
        <w:gridCol w:w="1142"/>
        <w:gridCol w:w="1311"/>
        <w:gridCol w:w="1320"/>
        <w:gridCol w:w="1257"/>
        <w:gridCol w:w="1245"/>
        <w:gridCol w:w="1248"/>
        <w:gridCol w:w="1245"/>
        <w:gridCol w:w="1229"/>
      </w:tblGrid>
      <w:tr w:rsidR="00B467C3" w:rsidRPr="00102E4D" w:rsidTr="001275CA">
        <w:trPr>
          <w:trHeight w:val="315"/>
          <w:tblHeader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F5A0D" w:rsidRDefault="00B467C3" w:rsidP="001275CA">
            <w:pPr>
              <w:jc w:val="center"/>
            </w:pPr>
          </w:p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Показатели</w:t>
            </w:r>
          </w:p>
          <w:p w:rsidR="00B467C3" w:rsidRPr="006F5A0D" w:rsidRDefault="00B467C3" w:rsidP="001275CA">
            <w:pPr>
              <w:jc w:val="center"/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</w:pPr>
          </w:p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Единица измерения</w:t>
            </w:r>
          </w:p>
          <w:p w:rsidR="00B467C3" w:rsidRPr="006F5A0D" w:rsidRDefault="00B467C3" w:rsidP="001275CA">
            <w:pPr>
              <w:jc w:val="center"/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отчет</w:t>
            </w:r>
          </w:p>
          <w:p w:rsidR="00B467C3" w:rsidRPr="006F5A0D" w:rsidRDefault="00B467C3" w:rsidP="001275CA">
            <w:pPr>
              <w:jc w:val="center"/>
              <w:rPr>
                <w:bCs/>
              </w:rPr>
            </w:pPr>
          </w:p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201</w:t>
            </w:r>
            <w:r>
              <w:rPr>
                <w:bCs/>
              </w:rPr>
              <w:t>3</w:t>
            </w:r>
            <w:r w:rsidRPr="006F5A0D">
              <w:rPr>
                <w:bCs/>
              </w:rPr>
              <w:t xml:space="preserve">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отчет</w:t>
            </w:r>
          </w:p>
          <w:p w:rsidR="00B467C3" w:rsidRPr="006F5A0D" w:rsidRDefault="00B467C3" w:rsidP="001275CA">
            <w:pPr>
              <w:jc w:val="center"/>
              <w:rPr>
                <w:bCs/>
              </w:rPr>
            </w:pPr>
          </w:p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6F5A0D">
              <w:rPr>
                <w:bCs/>
              </w:rPr>
              <w:t xml:space="preserve">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оценка</w:t>
            </w:r>
          </w:p>
          <w:p w:rsidR="00B467C3" w:rsidRPr="006F5A0D" w:rsidRDefault="00B467C3" w:rsidP="001275CA">
            <w:pPr>
              <w:jc w:val="center"/>
              <w:rPr>
                <w:bCs/>
              </w:rPr>
            </w:pPr>
          </w:p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6F5A0D">
              <w:rPr>
                <w:bCs/>
              </w:rPr>
              <w:t xml:space="preserve"> год</w:t>
            </w:r>
          </w:p>
        </w:tc>
        <w:tc>
          <w:tcPr>
            <w:tcW w:w="24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Прогноз</w:t>
            </w:r>
          </w:p>
        </w:tc>
      </w:tr>
      <w:tr w:rsidR="00B467C3" w:rsidRPr="00102E4D" w:rsidTr="001275CA">
        <w:trPr>
          <w:trHeight w:val="495"/>
          <w:tblHeader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</w:p>
        </w:tc>
        <w:tc>
          <w:tcPr>
            <w:tcW w:w="4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F5A0D" w:rsidRDefault="00B467C3" w:rsidP="001275CA">
            <w:pPr>
              <w:jc w:val="center"/>
            </w:pPr>
          </w:p>
        </w:tc>
        <w:tc>
          <w:tcPr>
            <w:tcW w:w="3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F5A0D" w:rsidRDefault="00B467C3" w:rsidP="001275CA">
            <w:pPr>
              <w:jc w:val="center"/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F5A0D" w:rsidRDefault="00B467C3" w:rsidP="001275CA">
            <w:pPr>
              <w:jc w:val="center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6F5A0D">
              <w:rPr>
                <w:bCs/>
              </w:rPr>
              <w:t xml:space="preserve"> год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6F5A0D">
              <w:rPr>
                <w:bCs/>
              </w:rPr>
              <w:t xml:space="preserve"> год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6F5A0D">
              <w:rPr>
                <w:bCs/>
              </w:rPr>
              <w:t xml:space="preserve"> год</w:t>
            </w:r>
          </w:p>
        </w:tc>
      </w:tr>
      <w:tr w:rsidR="00B467C3" w:rsidRPr="00102E4D" w:rsidTr="001275CA">
        <w:trPr>
          <w:trHeight w:val="468"/>
          <w:tblHeader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вариант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вариант 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вариант 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вариант 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вариант 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вариант 2</w:t>
            </w:r>
          </w:p>
        </w:tc>
      </w:tr>
      <w:tr w:rsidR="00B467C3" w:rsidRPr="00102E4D" w:rsidTr="001275CA">
        <w:trPr>
          <w:trHeight w:val="468"/>
          <w:tblHeader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</w:pPr>
            <w:r w:rsidRPr="006F5A0D">
              <w:t>1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</w:pPr>
            <w:r w:rsidRPr="006F5A0D">
              <w:t>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3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4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6F5A0D" w:rsidRDefault="00B467C3" w:rsidP="001275CA">
            <w:pPr>
              <w:jc w:val="center"/>
              <w:rPr>
                <w:bCs/>
              </w:rPr>
            </w:pPr>
            <w:r w:rsidRPr="006F5A0D">
              <w:rPr>
                <w:bCs/>
              </w:rPr>
              <w:t>11</w:t>
            </w:r>
          </w:p>
        </w:tc>
      </w:tr>
      <w:tr w:rsidR="00B467C3" w:rsidRPr="006A5210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rPr>
                <w:b/>
                <w:bCs/>
              </w:rPr>
            </w:pPr>
            <w:r w:rsidRPr="00587F3A">
              <w:rPr>
                <w:b/>
                <w:bCs/>
              </w:rPr>
              <w:t>Производство промышленной продукции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center"/>
            </w:pPr>
            <w:r w:rsidRPr="00587F3A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</w:tr>
      <w:tr w:rsidR="00B467C3" w:rsidRPr="006A5210" w:rsidTr="001275CA">
        <w:trPr>
          <w:trHeight w:val="94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r w:rsidRPr="00587F3A">
              <w:t>Отгружено товаров собственного производства, выполнено работ и услуг собственными силами производителей промышленной продукции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center"/>
            </w:pPr>
            <w:r w:rsidRPr="00587F3A">
              <w:t>млн. руб.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9,048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9,327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11,425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12,615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12,702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13,933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14,125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15,141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15,456</w:t>
            </w:r>
          </w:p>
        </w:tc>
      </w:tr>
      <w:tr w:rsidR="00B467C3" w:rsidRPr="006A5210" w:rsidTr="001275CA">
        <w:trPr>
          <w:trHeight w:val="46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Произведено промышленной продукции в натуральном </w:t>
            </w:r>
            <w:r w:rsidRPr="00587F3A">
              <w:lastRenderedPageBreak/>
              <w:t>выражении,                   в том числе по видам продукции: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587F3A" w:rsidRDefault="00B467C3" w:rsidP="001275CA">
            <w:pPr>
              <w:jc w:val="center"/>
            </w:pPr>
            <w:r w:rsidRPr="00587F3A">
              <w:lastRenderedPageBreak/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</w:tr>
      <w:tr w:rsidR="00B467C3" w:rsidRPr="006A5210" w:rsidTr="001275CA">
        <w:trPr>
          <w:trHeight w:val="843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lastRenderedPageBreak/>
              <w:t xml:space="preserve"> -хлеб и хлебобулочные изделия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43,0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</w:t>
            </w:r>
          </w:p>
        </w:tc>
      </w:tr>
      <w:tr w:rsidR="00B467C3" w:rsidRPr="006A5210" w:rsidTr="001275CA">
        <w:trPr>
          <w:trHeight w:val="542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-колбасные изделия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522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-нефть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тыс.тонн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87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-стеновые материалы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млн.шт.</w:t>
            </w:r>
          </w:p>
          <w:p w:rsidR="00B467C3" w:rsidRPr="00587F3A" w:rsidRDefault="00B467C3" w:rsidP="001275CA">
            <w:pPr>
              <w:jc w:val="center"/>
            </w:pPr>
            <w:r w:rsidRPr="00587F3A">
              <w:t xml:space="preserve">условного </w:t>
            </w:r>
          </w:p>
          <w:p w:rsidR="00B467C3" w:rsidRPr="00587F3A" w:rsidRDefault="00B467C3" w:rsidP="001275CA">
            <w:pPr>
              <w:jc w:val="center"/>
            </w:pPr>
            <w:r w:rsidRPr="00587F3A">
              <w:t>кирпича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53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-блоки и прочие изделия сборные строительные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тыс.куб.м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442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-пиломатериалы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тыс.куб.м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2132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rPr>
                <w:b/>
                <w:bCs/>
              </w:rPr>
            </w:pPr>
            <w:r w:rsidRPr="00587F3A">
              <w:rPr>
                <w:b/>
                <w:bCs/>
              </w:rPr>
              <w:t>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587F3A" w:rsidRDefault="00B467C3" w:rsidP="001275CA">
            <w:r w:rsidRPr="00587F3A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</w:tr>
      <w:tr w:rsidR="00B467C3" w:rsidRPr="006A5210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lastRenderedPageBreak/>
              <w:t xml:space="preserve">Произведено сельскохозяйственной продукции в натуральном выражении,  в том числе по видам продукции и по организациям - производителям продукции:              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587F3A" w:rsidRDefault="00B467C3" w:rsidP="001275CA">
            <w:pPr>
              <w:jc w:val="center"/>
            </w:pPr>
            <w:r w:rsidRPr="00587F3A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</w:tr>
      <w:tr w:rsidR="00B467C3" w:rsidRPr="006A5210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-мясо (скот и птица на убой) в живом весе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center"/>
            </w:pPr>
            <w:r w:rsidRPr="00587F3A">
              <w:t>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309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-молоко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34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-яйца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млн.штук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0,0</w:t>
            </w:r>
          </w:p>
        </w:tc>
      </w:tr>
      <w:tr w:rsidR="00B467C3" w:rsidRPr="006A5210" w:rsidTr="001275CA">
        <w:trPr>
          <w:trHeight w:val="34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-картофель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20,3</w:t>
            </w:r>
          </w:p>
        </w:tc>
      </w:tr>
      <w:tr w:rsidR="00B467C3" w:rsidRPr="006A5210" w:rsidTr="001275CA">
        <w:trPr>
          <w:trHeight w:val="27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 xml:space="preserve"> -овощи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center"/>
            </w:pPr>
            <w:r w:rsidRPr="00587F3A">
              <w:t>тонн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B834BB" w:rsidRDefault="00B467C3" w:rsidP="001275CA">
            <w:pPr>
              <w:jc w:val="center"/>
            </w:pPr>
            <w:r w:rsidRPr="00B834BB">
              <w:t>0,9</w:t>
            </w:r>
          </w:p>
        </w:tc>
      </w:tr>
      <w:tr w:rsidR="00B467C3" w:rsidRPr="006A5210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r w:rsidRPr="00587F3A">
              <w:t>Реализовано сельскохозяйственной продукции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center"/>
            </w:pPr>
            <w:r w:rsidRPr="00587F3A">
              <w:t>тыс. руб.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</w:tr>
      <w:tr w:rsidR="00B467C3" w:rsidRPr="006A5210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1B134B" w:rsidRDefault="00B467C3" w:rsidP="001275CA">
            <w:pPr>
              <w:rPr>
                <w:b/>
                <w:bCs/>
              </w:rPr>
            </w:pPr>
            <w:r w:rsidRPr="001B134B">
              <w:rPr>
                <w:b/>
                <w:bCs/>
              </w:rPr>
              <w:t>Демографические показатели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1B134B" w:rsidRDefault="00B467C3" w:rsidP="001275CA">
            <w:r w:rsidRPr="001B134B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</w:p>
        </w:tc>
      </w:tr>
      <w:tr w:rsidR="00B467C3" w:rsidRPr="006A5210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1B134B" w:rsidRDefault="00B467C3" w:rsidP="001275CA">
            <w:pPr>
              <w:jc w:val="both"/>
            </w:pPr>
            <w:r w:rsidRPr="001B134B">
              <w:t>Численность постоянного населения (среднегодовая)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1B134B" w:rsidRDefault="00B467C3" w:rsidP="001275CA">
            <w:pPr>
              <w:jc w:val="center"/>
            </w:pPr>
            <w:r w:rsidRPr="001B134B">
              <w:t>чел.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1499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B134B" w:rsidRDefault="00B467C3" w:rsidP="001275CA">
            <w:pPr>
              <w:jc w:val="center"/>
            </w:pPr>
            <w:r>
              <w:t>1520</w:t>
            </w:r>
          </w:p>
        </w:tc>
      </w:tr>
      <w:tr w:rsidR="00B467C3" w:rsidRPr="006A5210" w:rsidTr="001275CA">
        <w:trPr>
          <w:trHeight w:val="413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202238" w:rsidRDefault="00B467C3" w:rsidP="001275CA">
            <w:pPr>
              <w:rPr>
                <w:b/>
                <w:bCs/>
              </w:rPr>
            </w:pPr>
            <w:r w:rsidRPr="00202238">
              <w:rPr>
                <w:b/>
                <w:bCs/>
              </w:rPr>
              <w:lastRenderedPageBreak/>
              <w:t>Труд и занятость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202238" w:rsidRDefault="00B467C3" w:rsidP="001275CA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6A5210" w:rsidRDefault="00B467C3" w:rsidP="001275CA">
            <w:pPr>
              <w:jc w:val="center"/>
              <w:rPr>
                <w:color w:val="FF0000"/>
              </w:rPr>
            </w:pPr>
          </w:p>
        </w:tc>
      </w:tr>
      <w:tr w:rsidR="00B467C3" w:rsidRPr="006A5210" w:rsidTr="001275CA">
        <w:trPr>
          <w:trHeight w:val="468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202238" w:rsidRDefault="00B467C3" w:rsidP="001275CA">
            <w:pPr>
              <w:jc w:val="both"/>
            </w:pPr>
            <w:r w:rsidRPr="00202238">
              <w:t>Среднесписочная численность работников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202238" w:rsidRDefault="00B467C3" w:rsidP="001275CA">
            <w:pPr>
              <w:jc w:val="center"/>
            </w:pPr>
            <w:r w:rsidRPr="00202238">
              <w:t>чел.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887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125A24" w:rsidRDefault="00B467C3" w:rsidP="001275CA">
            <w:pPr>
              <w:jc w:val="center"/>
            </w:pPr>
            <w:r>
              <w:t>992</w:t>
            </w:r>
          </w:p>
        </w:tc>
      </w:tr>
      <w:tr w:rsidR="00B467C3" w:rsidRPr="006A5210" w:rsidTr="001275CA">
        <w:trPr>
          <w:trHeight w:val="117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9A100A" w:rsidRDefault="00B467C3" w:rsidP="001275CA">
            <w:pPr>
              <w:jc w:val="both"/>
            </w:pPr>
            <w:r w:rsidRPr="009A100A">
              <w:t>Численность безработных, зарегистрированных в службах занятости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9A100A" w:rsidRDefault="00B467C3" w:rsidP="001275CA">
            <w:pPr>
              <w:jc w:val="center"/>
            </w:pPr>
            <w:r w:rsidRPr="009A100A">
              <w:t>чел.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9A100A" w:rsidRDefault="00B467C3" w:rsidP="001275CA">
            <w:pPr>
              <w:jc w:val="center"/>
            </w:pPr>
            <w:r>
              <w:t>4</w:t>
            </w:r>
          </w:p>
        </w:tc>
      </w:tr>
      <w:tr w:rsidR="00B467C3" w:rsidRPr="00587F3A" w:rsidTr="001275CA">
        <w:trPr>
          <w:trHeight w:val="6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587F3A" w:rsidRDefault="00B467C3" w:rsidP="001275CA">
            <w:pPr>
              <w:rPr>
                <w:b/>
                <w:bCs/>
              </w:rPr>
            </w:pPr>
            <w:r w:rsidRPr="00587F3A">
              <w:rPr>
                <w:b/>
                <w:bCs/>
              </w:rPr>
              <w:t>Рынок товаров и услуг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7C3" w:rsidRPr="00587F3A" w:rsidRDefault="00B467C3" w:rsidP="001275CA">
            <w:r w:rsidRPr="00587F3A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87F3A" w:rsidRDefault="00B467C3" w:rsidP="001275CA">
            <w:pPr>
              <w:jc w:val="center"/>
            </w:pPr>
          </w:p>
        </w:tc>
      </w:tr>
      <w:tr w:rsidR="00B467C3" w:rsidRPr="00587F3A" w:rsidTr="001275CA">
        <w:trPr>
          <w:trHeight w:val="630"/>
        </w:trPr>
        <w:tc>
          <w:tcPr>
            <w:tcW w:w="8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both"/>
            </w:pPr>
            <w:r w:rsidRPr="00587F3A">
              <w:t>Оборот розничной торговли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  <w:r>
              <w:t>млн</w:t>
            </w:r>
            <w:r w:rsidRPr="00587F3A">
              <w:t>. руб. в ценах соответствующих лет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96,577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105,456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125,315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138,377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138,392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154,234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154,064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170,508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170,728</w:t>
            </w:r>
          </w:p>
        </w:tc>
      </w:tr>
      <w:tr w:rsidR="00B467C3" w:rsidRPr="00587F3A" w:rsidTr="001275CA">
        <w:trPr>
          <w:trHeight w:val="630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  <w:r w:rsidRPr="00587F3A">
              <w:t>в % к предыдущему году в сопоставимых ценах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>
              <w:t>101,5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102,1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103,6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105,8</w:t>
            </w:r>
          </w:p>
        </w:tc>
      </w:tr>
      <w:tr w:rsidR="00B467C3" w:rsidRPr="00587F3A" w:rsidTr="001275CA">
        <w:trPr>
          <w:trHeight w:val="63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both"/>
            </w:pPr>
            <w:r w:rsidRPr="00587F3A">
              <w:t>Оборот общественного питания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  <w:r>
              <w:t>млн</w:t>
            </w:r>
            <w:r w:rsidRPr="00587F3A">
              <w:t>. руб. в ценах соответствующих лет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12,827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14,590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17,842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20,266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20,250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22,977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23,020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25,950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26,109</w:t>
            </w:r>
          </w:p>
        </w:tc>
      </w:tr>
      <w:tr w:rsidR="00B467C3" w:rsidRPr="00587F3A" w:rsidTr="001275CA">
        <w:trPr>
          <w:trHeight w:val="1189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  <w:r w:rsidRPr="00587F3A">
              <w:t>в % к предыдущему году в сопоставимых ценах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106,2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106,7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106,5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107,8</w:t>
            </w:r>
          </w:p>
        </w:tc>
      </w:tr>
      <w:tr w:rsidR="00B467C3" w:rsidRPr="00587F3A" w:rsidTr="001275CA">
        <w:trPr>
          <w:trHeight w:val="46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C3" w:rsidRPr="00587F3A" w:rsidRDefault="00B467C3" w:rsidP="001275CA">
            <w:pPr>
              <w:jc w:val="both"/>
            </w:pPr>
            <w:r w:rsidRPr="00587F3A">
              <w:t>Объем платных услуг населению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  <w:r>
              <w:t>млн</w:t>
            </w:r>
            <w:r w:rsidRPr="00587F3A">
              <w:t>. руб. в ценах соответствующих лет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26,035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28,115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32,103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35,871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35,917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40,011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40,217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44,528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44,937</w:t>
            </w:r>
          </w:p>
        </w:tc>
      </w:tr>
      <w:tr w:rsidR="00B467C3" w:rsidRPr="00587F3A" w:rsidTr="001275CA">
        <w:trPr>
          <w:trHeight w:val="630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C3" w:rsidRPr="00587F3A" w:rsidRDefault="00B467C3" w:rsidP="001275CA">
            <w:pPr>
              <w:jc w:val="both"/>
            </w:pPr>
            <w:r w:rsidRPr="00587F3A">
              <w:t>в % к предыдущему году в сопоставимых ценах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>
              <w:t>101,0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101,3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102,5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103,4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103,7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104,9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105,4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3" w:rsidRPr="0055450F" w:rsidRDefault="00B467C3" w:rsidP="001275CA">
            <w:pPr>
              <w:jc w:val="center"/>
            </w:pPr>
            <w:r w:rsidRPr="0055450F">
              <w:t>106,5</w:t>
            </w:r>
          </w:p>
        </w:tc>
      </w:tr>
    </w:tbl>
    <w:p w:rsidR="00B467C3" w:rsidRDefault="00B467C3" w:rsidP="00B467C3"/>
    <w:p w:rsidR="00B467C3" w:rsidRDefault="00B467C3" w:rsidP="00B467C3">
      <w:pPr>
        <w:jc w:val="center"/>
      </w:pPr>
      <w:r>
        <w:t>_________</w:t>
      </w:r>
    </w:p>
    <w:p w:rsidR="00B467C3" w:rsidRDefault="00B467C3" w:rsidP="00B467C3"/>
    <w:p w:rsidR="00B467C3" w:rsidRDefault="00B467C3" w:rsidP="00B467C3"/>
    <w:p w:rsidR="00B467C3" w:rsidRDefault="00B467C3" w:rsidP="00B467C3">
      <w:pPr>
        <w:sectPr w:rsidR="00B467C3" w:rsidSect="00B467C3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67C3" w:rsidRDefault="00B467C3" w:rsidP="00B467C3">
      <w:pPr>
        <w:ind w:left="4253"/>
        <w:jc w:val="right"/>
        <w:rPr>
          <w:szCs w:val="20"/>
        </w:rPr>
      </w:pPr>
      <w:r w:rsidRPr="00AB0BFE">
        <w:rPr>
          <w:szCs w:val="20"/>
        </w:rPr>
        <w:lastRenderedPageBreak/>
        <w:t>Приложение</w:t>
      </w:r>
    </w:p>
    <w:p w:rsidR="00B467C3" w:rsidRPr="00AB0BFE" w:rsidRDefault="00B467C3" w:rsidP="00B467C3">
      <w:pPr>
        <w:ind w:left="4253"/>
        <w:jc w:val="right"/>
      </w:pPr>
      <w:r w:rsidRPr="00AB0BFE">
        <w:rPr>
          <w:szCs w:val="20"/>
        </w:rPr>
        <w:t xml:space="preserve">к прогнозу </w:t>
      </w:r>
      <w:r w:rsidRPr="00AB0BFE">
        <w:t>социально-экономического развития сельского поселения</w:t>
      </w:r>
      <w:r>
        <w:t xml:space="preserve"> </w:t>
      </w:r>
      <w:r w:rsidRPr="00AB0BFE">
        <w:rPr>
          <w:szCs w:val="20"/>
        </w:rPr>
        <w:t>Сосновка на 2016 год и плановый период 2017 и 2018 годов</w:t>
      </w:r>
    </w:p>
    <w:p w:rsidR="00B467C3" w:rsidRPr="00AB0BFE" w:rsidRDefault="00B467C3" w:rsidP="00B467C3">
      <w:pPr>
        <w:ind w:left="6480"/>
        <w:jc w:val="center"/>
        <w:rPr>
          <w:szCs w:val="20"/>
        </w:rPr>
      </w:pPr>
    </w:p>
    <w:p w:rsidR="00B467C3" w:rsidRDefault="00B467C3" w:rsidP="00B467C3">
      <w:pPr>
        <w:ind w:left="6480"/>
        <w:jc w:val="center"/>
      </w:pPr>
    </w:p>
    <w:p w:rsidR="00B467C3" w:rsidRPr="00204428" w:rsidRDefault="00B467C3" w:rsidP="00B467C3">
      <w:pPr>
        <w:ind w:left="6480"/>
        <w:jc w:val="center"/>
      </w:pPr>
    </w:p>
    <w:p w:rsidR="00B467C3" w:rsidRPr="00204428" w:rsidRDefault="00B467C3" w:rsidP="00B467C3">
      <w:pPr>
        <w:ind w:left="6480"/>
        <w:jc w:val="center"/>
      </w:pPr>
    </w:p>
    <w:p w:rsidR="00B467C3" w:rsidRPr="00204428" w:rsidRDefault="00B467C3" w:rsidP="00B467C3">
      <w:pPr>
        <w:jc w:val="center"/>
        <w:rPr>
          <w:b/>
        </w:rPr>
      </w:pPr>
      <w:r w:rsidRPr="00204428">
        <w:rPr>
          <w:b/>
        </w:rPr>
        <w:t>Пояснительная записка к прогнозу</w:t>
      </w:r>
    </w:p>
    <w:p w:rsidR="00B467C3" w:rsidRPr="00204428" w:rsidRDefault="00B467C3" w:rsidP="00B467C3">
      <w:pPr>
        <w:jc w:val="center"/>
        <w:rPr>
          <w:b/>
        </w:rPr>
      </w:pPr>
      <w:r w:rsidRPr="00204428">
        <w:rPr>
          <w:b/>
        </w:rPr>
        <w:t xml:space="preserve">социально-экономического развития </w:t>
      </w:r>
      <w:r>
        <w:rPr>
          <w:b/>
        </w:rPr>
        <w:t>сельского</w:t>
      </w:r>
      <w:r w:rsidRPr="00204428">
        <w:rPr>
          <w:b/>
        </w:rPr>
        <w:t xml:space="preserve"> поселения </w:t>
      </w:r>
    </w:p>
    <w:p w:rsidR="00B467C3" w:rsidRPr="00204428" w:rsidRDefault="00B467C3" w:rsidP="00B467C3">
      <w:pPr>
        <w:jc w:val="center"/>
        <w:rPr>
          <w:b/>
        </w:rPr>
      </w:pPr>
      <w:r>
        <w:rPr>
          <w:b/>
        </w:rPr>
        <w:t>Сосновка</w:t>
      </w:r>
      <w:r w:rsidRPr="00204428">
        <w:rPr>
          <w:b/>
        </w:rPr>
        <w:t xml:space="preserve"> на 201</w:t>
      </w:r>
      <w:r>
        <w:rPr>
          <w:b/>
        </w:rPr>
        <w:t>6</w:t>
      </w:r>
      <w:r w:rsidRPr="00204428">
        <w:rPr>
          <w:b/>
        </w:rPr>
        <w:t xml:space="preserve"> год и плановый период 201</w:t>
      </w:r>
      <w:r>
        <w:rPr>
          <w:b/>
        </w:rPr>
        <w:t>7</w:t>
      </w:r>
      <w:r w:rsidRPr="00204428">
        <w:rPr>
          <w:b/>
        </w:rPr>
        <w:t xml:space="preserve"> и  201</w:t>
      </w:r>
      <w:r>
        <w:rPr>
          <w:b/>
        </w:rPr>
        <w:t>8</w:t>
      </w:r>
      <w:r w:rsidRPr="00204428">
        <w:rPr>
          <w:b/>
        </w:rPr>
        <w:t xml:space="preserve"> годов</w:t>
      </w:r>
    </w:p>
    <w:p w:rsidR="00B467C3" w:rsidRPr="00204428" w:rsidRDefault="00B467C3" w:rsidP="00B467C3">
      <w:pPr>
        <w:ind w:firstLine="720"/>
        <w:jc w:val="both"/>
      </w:pPr>
    </w:p>
    <w:p w:rsidR="00B467C3" w:rsidRDefault="00B467C3" w:rsidP="00B467C3">
      <w:pPr>
        <w:ind w:firstLine="720"/>
        <w:jc w:val="both"/>
      </w:pPr>
    </w:p>
    <w:p w:rsidR="00B467C3" w:rsidRPr="00204428" w:rsidRDefault="00B467C3" w:rsidP="00B467C3">
      <w:pPr>
        <w:ind w:firstLine="720"/>
        <w:jc w:val="both"/>
      </w:pPr>
    </w:p>
    <w:p w:rsidR="00B467C3" w:rsidRPr="006C0587" w:rsidRDefault="00B467C3" w:rsidP="00B467C3">
      <w:pPr>
        <w:ind w:firstLine="708"/>
        <w:jc w:val="both"/>
      </w:pPr>
      <w:r w:rsidRPr="00204428">
        <w:t xml:space="preserve">Прогноз социально-экономического развития </w:t>
      </w:r>
      <w:r>
        <w:t>сельского</w:t>
      </w:r>
      <w:r w:rsidRPr="00204428">
        <w:t xml:space="preserve"> поселения </w:t>
      </w:r>
      <w:r>
        <w:t xml:space="preserve">Сосновка </w:t>
      </w:r>
      <w:r w:rsidRPr="006C0587">
        <w:t xml:space="preserve">на 2015 год и плановый период 2016 и 2017 годов разработан на основе сценарных условий, основных параметров прогноза социально-экономического развития Российской Федерации, одобренных Правительством Российской Федерации, с учетом основных ориентиров и приоритетов социально-экономического развития Российской Федерации, Ханты-Мансийского автономного округа </w:t>
      </w:r>
      <w:r w:rsidRPr="006C0587">
        <w:rPr>
          <w:b/>
          <w:bCs/>
        </w:rPr>
        <w:t xml:space="preserve">– </w:t>
      </w:r>
      <w:r w:rsidRPr="006C0587">
        <w:t xml:space="preserve">Югры, определенных Президентом Российской Федерации, Губернатором Ханты-Мансийского автономного округа – Югры. </w:t>
      </w:r>
    </w:p>
    <w:p w:rsidR="00B467C3" w:rsidRPr="00AA4903" w:rsidRDefault="00B467C3" w:rsidP="00B467C3">
      <w:pPr>
        <w:ind w:firstLine="720"/>
        <w:jc w:val="both"/>
      </w:pPr>
      <w:r w:rsidRPr="00AA4903">
        <w:t xml:space="preserve">Прогноз социально-экономического развития </w:t>
      </w:r>
      <w:r>
        <w:t>сельского</w:t>
      </w:r>
      <w:r w:rsidRPr="00204428">
        <w:t xml:space="preserve"> поселения </w:t>
      </w:r>
      <w:r>
        <w:t>Сосновка</w:t>
      </w:r>
      <w:r w:rsidRPr="00204428">
        <w:t xml:space="preserve"> </w:t>
      </w:r>
      <w:r w:rsidRPr="00AA4903">
        <w:t>на 201</w:t>
      </w:r>
      <w:r>
        <w:t>6</w:t>
      </w:r>
      <w:r w:rsidRPr="00AA4903">
        <w:t xml:space="preserve"> год и плановый период 201</w:t>
      </w:r>
      <w:r>
        <w:t>7</w:t>
      </w:r>
      <w:r w:rsidRPr="00AA4903">
        <w:t xml:space="preserve"> и 201</w:t>
      </w:r>
      <w:r>
        <w:t>8</w:t>
      </w:r>
      <w:r w:rsidRPr="00AA4903">
        <w:t xml:space="preserve"> годов выполнен в двух вариантах. </w:t>
      </w:r>
    </w:p>
    <w:p w:rsidR="00B467C3" w:rsidRPr="000B01A4" w:rsidRDefault="00B467C3" w:rsidP="00B467C3">
      <w:pPr>
        <w:ind w:firstLine="720"/>
        <w:jc w:val="both"/>
      </w:pPr>
      <w:r w:rsidRPr="000B01A4">
        <w:rPr>
          <w:b/>
        </w:rPr>
        <w:t xml:space="preserve">Вариант 1 (базовый) </w:t>
      </w:r>
      <w:r w:rsidRPr="000B01A4">
        <w:t>-  предполагает продолжение действия санкций со стороны США и ЕС на протяжении всего прогнозного периода, что означает сохранение ограничений доступа к мировому рынку капитала для российских компаний и достаточно высокий уровень чистого оттока капитала из частного сектора, связанный с погашением внешнего долга. Ожидается улучшение платежного баланса по счету текущих операций благодаря стабилизации экспорта при достаточно существенном снижении импорта товаров и услуг. В прогнозный период не ожидается существенного роста безработицы.</w:t>
      </w:r>
    </w:p>
    <w:p w:rsidR="00B467C3" w:rsidRPr="000B01A4" w:rsidRDefault="00B467C3" w:rsidP="00B467C3">
      <w:pPr>
        <w:ind w:firstLine="720"/>
        <w:jc w:val="both"/>
      </w:pPr>
      <w:r w:rsidRPr="000B01A4">
        <w:rPr>
          <w:b/>
        </w:rPr>
        <w:t xml:space="preserve">Вариант 2 (умеренно-оптимистичный) – </w:t>
      </w:r>
      <w:r w:rsidRPr="000B01A4">
        <w:t xml:space="preserve">базируется на предположении о более позитивной конъюнктуре рынка энергоносителей и частичной отмене экономических санкций с 2016 года. </w:t>
      </w:r>
      <w:r w:rsidRPr="000B01A4">
        <w:rPr>
          <w:lang w:eastAsia="en-US"/>
        </w:rPr>
        <w:t xml:space="preserve">Одной из особенностей этого сценария является существенное увеличение профицита счета текущих операций при одновременном сокращении чистого оттока капитала. </w:t>
      </w:r>
      <w:r w:rsidRPr="000B01A4">
        <w:t>Ожидается восстановление внутреннего долгового рынка, что позволит осуществлять государственные заимствования в больших объемах по сравнению с базовым сценарием.</w:t>
      </w:r>
    </w:p>
    <w:p w:rsidR="00B467C3" w:rsidRPr="00AA4903" w:rsidRDefault="00B467C3" w:rsidP="00B467C3">
      <w:pPr>
        <w:pStyle w:val="af"/>
        <w:spacing w:after="0"/>
        <w:ind w:firstLine="720"/>
        <w:jc w:val="both"/>
        <w:rPr>
          <w:b/>
        </w:rPr>
      </w:pPr>
      <w:r>
        <w:t>Первый</w:t>
      </w:r>
      <w:r w:rsidRPr="00AA4903">
        <w:t xml:space="preserve"> вариант прогноза рассматривается как основной для составления бюджета  </w:t>
      </w:r>
      <w:r>
        <w:t>сельского</w:t>
      </w:r>
      <w:r w:rsidRPr="00204428">
        <w:t xml:space="preserve"> поселения </w:t>
      </w:r>
      <w:r>
        <w:t>Сосновка</w:t>
      </w:r>
      <w:r w:rsidRPr="00204428">
        <w:t xml:space="preserve"> </w:t>
      </w:r>
      <w:r w:rsidRPr="00AA4903">
        <w:t>на 201</w:t>
      </w:r>
      <w:r>
        <w:rPr>
          <w:lang w:val="ru-RU"/>
        </w:rPr>
        <w:t>6</w:t>
      </w:r>
      <w:r w:rsidRPr="00AA4903">
        <w:t xml:space="preserve"> год и плановый период 201</w:t>
      </w:r>
      <w:r>
        <w:rPr>
          <w:lang w:val="ru-RU"/>
        </w:rPr>
        <w:t>7</w:t>
      </w:r>
      <w:r w:rsidRPr="00AA4903">
        <w:t xml:space="preserve"> и 201</w:t>
      </w:r>
      <w:r>
        <w:rPr>
          <w:lang w:val="ru-RU"/>
        </w:rPr>
        <w:t>8</w:t>
      </w:r>
      <w:r w:rsidRPr="00AA4903">
        <w:t xml:space="preserve"> годов.</w:t>
      </w:r>
      <w:r w:rsidRPr="00AA4903">
        <w:rPr>
          <w:b/>
        </w:rPr>
        <w:t xml:space="preserve"> </w:t>
      </w:r>
    </w:p>
    <w:p w:rsidR="00B467C3" w:rsidRPr="005172E3" w:rsidRDefault="00B467C3" w:rsidP="00B467C3">
      <w:pPr>
        <w:ind w:firstLine="720"/>
        <w:jc w:val="both"/>
        <w:rPr>
          <w:b/>
          <w:szCs w:val="26"/>
        </w:rPr>
      </w:pPr>
      <w:r w:rsidRPr="005172E3">
        <w:rPr>
          <w:b/>
        </w:rPr>
        <w:t>Демографическая ситуация.</w:t>
      </w:r>
      <w:r w:rsidRPr="005172E3">
        <w:t xml:space="preserve"> Среднегодовая численность населения сельского поселения Сосновка за 2014 год составила 1,515 тыс. человек. По предварительной оценке среднегодовая численность населения за 201</w:t>
      </w:r>
      <w:r>
        <w:t>5</w:t>
      </w:r>
      <w:r w:rsidRPr="005172E3">
        <w:t xml:space="preserve"> год составит 1,</w:t>
      </w:r>
      <w:r>
        <w:t>499</w:t>
      </w:r>
      <w:r w:rsidRPr="005172E3">
        <w:t xml:space="preserve"> тыс. человек. </w:t>
      </w: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Default="00B467C3" w:rsidP="00B467C3">
      <w:pPr>
        <w:jc w:val="right"/>
      </w:pPr>
    </w:p>
    <w:p w:rsidR="00B467C3" w:rsidRPr="00DB005B" w:rsidRDefault="00B467C3" w:rsidP="00B467C3">
      <w:pPr>
        <w:jc w:val="right"/>
      </w:pPr>
      <w:r w:rsidRPr="00DB005B">
        <w:lastRenderedPageBreak/>
        <w:t>Таблица 1</w:t>
      </w:r>
    </w:p>
    <w:p w:rsidR="00B467C3" w:rsidRPr="00DB005B" w:rsidRDefault="00B467C3" w:rsidP="00B467C3">
      <w:pPr>
        <w:jc w:val="right"/>
      </w:pPr>
    </w:p>
    <w:p w:rsidR="00B467C3" w:rsidRDefault="00B467C3" w:rsidP="00B467C3">
      <w:pPr>
        <w:ind w:firstLine="720"/>
        <w:jc w:val="center"/>
        <w:rPr>
          <w:b/>
        </w:rPr>
      </w:pPr>
    </w:p>
    <w:p w:rsidR="00B467C3" w:rsidRPr="00DB005B" w:rsidRDefault="00B467C3" w:rsidP="00B467C3">
      <w:pPr>
        <w:ind w:firstLine="720"/>
        <w:jc w:val="center"/>
      </w:pPr>
      <w:r w:rsidRPr="00DB005B">
        <w:rPr>
          <w:b/>
        </w:rPr>
        <w:t>Демографические показатели по сельскому поселению Сосновка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080"/>
        <w:gridCol w:w="1260"/>
        <w:gridCol w:w="1080"/>
        <w:gridCol w:w="1260"/>
        <w:gridCol w:w="900"/>
      </w:tblGrid>
      <w:tr w:rsidR="00B467C3" w:rsidRPr="00DB005B" w:rsidTr="001275CA">
        <w:trPr>
          <w:cantSplit/>
          <w:trHeight w:val="401"/>
        </w:trPr>
        <w:tc>
          <w:tcPr>
            <w:tcW w:w="3420" w:type="dxa"/>
            <w:vMerge w:val="restart"/>
            <w:vAlign w:val="center"/>
          </w:tcPr>
          <w:p w:rsidR="00B467C3" w:rsidRPr="00DB005B" w:rsidRDefault="00B467C3" w:rsidP="001275CA">
            <w:pPr>
              <w:pStyle w:val="af"/>
              <w:spacing w:line="216" w:lineRule="auto"/>
              <w:jc w:val="center"/>
              <w:rPr>
                <w:b/>
                <w:sz w:val="20"/>
                <w:lang w:val="ru-RU" w:eastAsia="ru-RU"/>
              </w:rPr>
            </w:pPr>
          </w:p>
          <w:p w:rsidR="00B467C3" w:rsidRPr="00DB005B" w:rsidRDefault="00B467C3" w:rsidP="001275CA">
            <w:pPr>
              <w:pStyle w:val="af"/>
              <w:spacing w:line="216" w:lineRule="auto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>2014 год (отчет)</w:t>
            </w:r>
          </w:p>
        </w:tc>
        <w:tc>
          <w:tcPr>
            <w:tcW w:w="1260" w:type="dxa"/>
            <w:vMerge w:val="restart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>2015 год (оценка)</w:t>
            </w:r>
          </w:p>
        </w:tc>
        <w:tc>
          <w:tcPr>
            <w:tcW w:w="3240" w:type="dxa"/>
            <w:gridSpan w:val="3"/>
            <w:vAlign w:val="center"/>
          </w:tcPr>
          <w:p w:rsidR="00B467C3" w:rsidRPr="00DB005B" w:rsidRDefault="00B467C3" w:rsidP="001275CA">
            <w:pPr>
              <w:pStyle w:val="af"/>
              <w:spacing w:line="216" w:lineRule="auto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>Прогноз</w:t>
            </w:r>
          </w:p>
        </w:tc>
      </w:tr>
      <w:tr w:rsidR="00B467C3" w:rsidRPr="00DB005B" w:rsidTr="001275CA">
        <w:trPr>
          <w:cantSplit/>
          <w:trHeight w:val="521"/>
        </w:trPr>
        <w:tc>
          <w:tcPr>
            <w:tcW w:w="3420" w:type="dxa"/>
            <w:vMerge/>
            <w:vAlign w:val="center"/>
          </w:tcPr>
          <w:p w:rsidR="00B467C3" w:rsidRPr="00DB005B" w:rsidRDefault="00B467C3" w:rsidP="001275CA">
            <w:pPr>
              <w:pStyle w:val="af"/>
              <w:spacing w:line="216" w:lineRule="auto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B467C3" w:rsidRPr="00DB005B" w:rsidRDefault="00B467C3" w:rsidP="001275CA">
            <w:pPr>
              <w:pStyle w:val="af"/>
              <w:jc w:val="right"/>
              <w:rPr>
                <w:b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 xml:space="preserve">  2016 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>2017</w:t>
            </w:r>
            <w:r w:rsidRPr="00DB005B">
              <w:rPr>
                <w:b/>
                <w:sz w:val="20"/>
                <w:lang w:val="ru-RU" w:eastAsia="ru-RU"/>
              </w:rPr>
              <w:br/>
              <w:t>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7C3" w:rsidRPr="00DB005B" w:rsidRDefault="00B467C3" w:rsidP="001275CA">
            <w:pPr>
              <w:pStyle w:val="af"/>
              <w:spacing w:line="216" w:lineRule="auto"/>
              <w:jc w:val="center"/>
              <w:rPr>
                <w:b/>
                <w:sz w:val="20"/>
                <w:lang w:val="ru-RU" w:eastAsia="ru-RU"/>
              </w:rPr>
            </w:pPr>
            <w:r w:rsidRPr="00DB005B">
              <w:rPr>
                <w:b/>
                <w:sz w:val="20"/>
                <w:lang w:val="ru-RU" w:eastAsia="ru-RU"/>
              </w:rPr>
              <w:t>2018 год</w:t>
            </w:r>
          </w:p>
        </w:tc>
      </w:tr>
      <w:tr w:rsidR="00B467C3" w:rsidRPr="00DB005B" w:rsidTr="001275CA">
        <w:trPr>
          <w:cantSplit/>
          <w:trHeight w:val="351"/>
        </w:trPr>
        <w:tc>
          <w:tcPr>
            <w:tcW w:w="3420" w:type="dxa"/>
            <w:vAlign w:val="bottom"/>
          </w:tcPr>
          <w:p w:rsidR="00B467C3" w:rsidRPr="00DB005B" w:rsidRDefault="00B467C3" w:rsidP="001275C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 xml:space="preserve">Рождаемость, человек </w:t>
            </w:r>
          </w:p>
        </w:tc>
        <w:tc>
          <w:tcPr>
            <w:tcW w:w="1080" w:type="dxa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260" w:type="dxa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080" w:type="dxa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center"/>
          </w:tcPr>
          <w:p w:rsidR="00B467C3" w:rsidRPr="00DB005B" w:rsidRDefault="00B467C3" w:rsidP="001275CA">
            <w:pPr>
              <w:pStyle w:val="af"/>
              <w:tabs>
                <w:tab w:val="left" w:pos="1620"/>
              </w:tabs>
              <w:ind w:right="1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20</w:t>
            </w:r>
          </w:p>
        </w:tc>
      </w:tr>
      <w:tr w:rsidR="00B467C3" w:rsidRPr="00DB005B" w:rsidTr="001275CA">
        <w:trPr>
          <w:cantSplit/>
          <w:trHeight w:val="352"/>
        </w:trPr>
        <w:tc>
          <w:tcPr>
            <w:tcW w:w="3420" w:type="dxa"/>
            <w:vAlign w:val="bottom"/>
          </w:tcPr>
          <w:p w:rsidR="00B467C3" w:rsidRPr="00DB005B" w:rsidRDefault="00B467C3" w:rsidP="001275C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на 1000 населения, промилле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18,5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13,3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13,3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13,2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center"/>
          </w:tcPr>
          <w:p w:rsidR="00B467C3" w:rsidRPr="00DB005B" w:rsidRDefault="00B467C3" w:rsidP="001275CA">
            <w:pPr>
              <w:pStyle w:val="af"/>
              <w:tabs>
                <w:tab w:val="left" w:pos="1620"/>
              </w:tabs>
              <w:ind w:right="1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13,2</w:t>
            </w:r>
          </w:p>
        </w:tc>
      </w:tr>
      <w:tr w:rsidR="00B467C3" w:rsidRPr="00DB005B" w:rsidTr="001275CA">
        <w:trPr>
          <w:cantSplit/>
          <w:trHeight w:val="352"/>
        </w:trPr>
        <w:tc>
          <w:tcPr>
            <w:tcW w:w="3420" w:type="dxa"/>
            <w:vAlign w:val="bottom"/>
          </w:tcPr>
          <w:p w:rsidR="00B467C3" w:rsidRPr="00DB005B" w:rsidRDefault="00B467C3" w:rsidP="001275C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 xml:space="preserve">Смертность, человек 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center"/>
          </w:tcPr>
          <w:p w:rsidR="00B467C3" w:rsidRPr="00DB005B" w:rsidRDefault="00B467C3" w:rsidP="001275CA">
            <w:pPr>
              <w:pStyle w:val="af"/>
              <w:tabs>
                <w:tab w:val="left" w:pos="1620"/>
              </w:tabs>
              <w:ind w:right="1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B467C3" w:rsidRPr="00DB005B" w:rsidTr="001275CA">
        <w:trPr>
          <w:cantSplit/>
          <w:trHeight w:val="352"/>
        </w:trPr>
        <w:tc>
          <w:tcPr>
            <w:tcW w:w="3420" w:type="dxa"/>
            <w:vAlign w:val="bottom"/>
          </w:tcPr>
          <w:p w:rsidR="00B467C3" w:rsidRPr="00DB005B" w:rsidRDefault="00B467C3" w:rsidP="001275CA">
            <w:pPr>
              <w:pStyle w:val="af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на 1000 населения, промилле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2,6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2,7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2,7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2,6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center"/>
          </w:tcPr>
          <w:p w:rsidR="00B467C3" w:rsidRPr="00DB005B" w:rsidRDefault="00B467C3" w:rsidP="001275CA">
            <w:pPr>
              <w:pStyle w:val="af"/>
              <w:tabs>
                <w:tab w:val="left" w:pos="1620"/>
              </w:tabs>
              <w:ind w:right="1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B467C3" w:rsidRPr="00DB005B" w:rsidTr="001275CA">
        <w:trPr>
          <w:cantSplit/>
          <w:trHeight w:val="309"/>
        </w:trPr>
        <w:tc>
          <w:tcPr>
            <w:tcW w:w="3420" w:type="dxa"/>
            <w:vAlign w:val="center"/>
          </w:tcPr>
          <w:p w:rsidR="00B467C3" w:rsidRPr="00DB005B" w:rsidRDefault="00B467C3" w:rsidP="001275CA">
            <w:pPr>
              <w:pStyle w:val="af"/>
              <w:spacing w:line="264" w:lineRule="auto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Естественный прирост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center"/>
          </w:tcPr>
          <w:p w:rsidR="00B467C3" w:rsidRPr="00DB005B" w:rsidRDefault="00B467C3" w:rsidP="001275CA">
            <w:pPr>
              <w:pStyle w:val="af"/>
              <w:tabs>
                <w:tab w:val="left" w:pos="1620"/>
              </w:tabs>
              <w:ind w:right="1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16</w:t>
            </w:r>
          </w:p>
        </w:tc>
      </w:tr>
      <w:tr w:rsidR="00B467C3" w:rsidRPr="00DB005B" w:rsidTr="001275CA">
        <w:trPr>
          <w:cantSplit/>
          <w:trHeight w:val="481"/>
        </w:trPr>
        <w:tc>
          <w:tcPr>
            <w:tcW w:w="3420" w:type="dxa"/>
            <w:vAlign w:val="bottom"/>
          </w:tcPr>
          <w:p w:rsidR="00B467C3" w:rsidRPr="00DB005B" w:rsidRDefault="00B467C3" w:rsidP="001275CA">
            <w:pPr>
              <w:pStyle w:val="af"/>
              <w:spacing w:before="120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Миграционный прирост (убыль)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spacing w:before="12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-10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spacing w:before="12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-9</w:t>
            </w:r>
          </w:p>
        </w:tc>
        <w:tc>
          <w:tcPr>
            <w:tcW w:w="1080" w:type="dxa"/>
            <w:vAlign w:val="center"/>
          </w:tcPr>
          <w:p w:rsidR="00B467C3" w:rsidRPr="00DB005B" w:rsidRDefault="00B467C3" w:rsidP="001275CA">
            <w:pPr>
              <w:pStyle w:val="af"/>
              <w:spacing w:before="12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-9</w:t>
            </w:r>
          </w:p>
        </w:tc>
        <w:tc>
          <w:tcPr>
            <w:tcW w:w="1260" w:type="dxa"/>
            <w:vAlign w:val="center"/>
          </w:tcPr>
          <w:p w:rsidR="00B467C3" w:rsidRPr="00DB005B" w:rsidRDefault="00B467C3" w:rsidP="001275CA">
            <w:pPr>
              <w:pStyle w:val="af"/>
              <w:spacing w:before="12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-9</w:t>
            </w:r>
          </w:p>
        </w:tc>
        <w:tc>
          <w:tcPr>
            <w:tcW w:w="900" w:type="dxa"/>
            <w:tcMar>
              <w:left w:w="0" w:type="dxa"/>
              <w:right w:w="170" w:type="dxa"/>
            </w:tcMar>
            <w:vAlign w:val="center"/>
          </w:tcPr>
          <w:p w:rsidR="00B467C3" w:rsidRPr="00DB005B" w:rsidRDefault="00B467C3" w:rsidP="001275CA">
            <w:pPr>
              <w:pStyle w:val="af"/>
              <w:tabs>
                <w:tab w:val="left" w:pos="1620"/>
              </w:tabs>
              <w:spacing w:before="120"/>
              <w:ind w:right="10"/>
              <w:jc w:val="center"/>
              <w:rPr>
                <w:sz w:val="22"/>
                <w:szCs w:val="22"/>
                <w:lang w:val="ru-RU" w:eastAsia="ru-RU"/>
              </w:rPr>
            </w:pPr>
            <w:r w:rsidRPr="00DB005B">
              <w:rPr>
                <w:sz w:val="22"/>
                <w:szCs w:val="22"/>
                <w:lang w:val="ru-RU" w:eastAsia="ru-RU"/>
              </w:rPr>
              <w:t>-9</w:t>
            </w:r>
          </w:p>
        </w:tc>
      </w:tr>
    </w:tbl>
    <w:p w:rsidR="00B467C3" w:rsidRPr="002851A2" w:rsidRDefault="00B467C3" w:rsidP="00B467C3">
      <w:pPr>
        <w:pStyle w:val="af"/>
        <w:spacing w:after="0"/>
        <w:jc w:val="both"/>
        <w:rPr>
          <w:b/>
          <w:color w:val="FF0000"/>
          <w:lang w:val="ru-RU"/>
        </w:rPr>
      </w:pPr>
    </w:p>
    <w:p w:rsidR="00B467C3" w:rsidRPr="00495C35" w:rsidRDefault="00B467C3" w:rsidP="00B467C3">
      <w:pPr>
        <w:pStyle w:val="af"/>
        <w:spacing w:after="0"/>
        <w:ind w:firstLine="709"/>
        <w:jc w:val="both"/>
        <w:rPr>
          <w:lang w:val="ru-RU"/>
        </w:rPr>
      </w:pPr>
      <w:r w:rsidRPr="00495C35">
        <w:t>Прогноз демографической ситуации на 201</w:t>
      </w:r>
      <w:r w:rsidRPr="00495C35">
        <w:rPr>
          <w:lang w:val="ru-RU"/>
        </w:rPr>
        <w:t>6</w:t>
      </w:r>
      <w:r w:rsidRPr="00495C35">
        <w:t xml:space="preserve"> - 201</w:t>
      </w:r>
      <w:r w:rsidRPr="00495C35">
        <w:rPr>
          <w:lang w:val="ru-RU"/>
        </w:rPr>
        <w:t>8</w:t>
      </w:r>
      <w:r w:rsidRPr="00495C35">
        <w:t xml:space="preserve"> годы рассчитан с учетом сохранения уровня рождаемости и смертности на одном уровне. Среднегодовая численность за 201</w:t>
      </w:r>
      <w:r w:rsidRPr="00495C35">
        <w:rPr>
          <w:lang w:val="ru-RU"/>
        </w:rPr>
        <w:t>6</w:t>
      </w:r>
      <w:r w:rsidRPr="00495C35">
        <w:t xml:space="preserve"> год по прогнозу составит  1,5</w:t>
      </w:r>
      <w:r w:rsidRPr="00495C35">
        <w:rPr>
          <w:lang w:val="ru-RU"/>
        </w:rPr>
        <w:t>06</w:t>
      </w:r>
      <w:r w:rsidRPr="00495C35">
        <w:t xml:space="preserve"> тыс. человек, 201</w:t>
      </w:r>
      <w:r w:rsidRPr="00495C35">
        <w:rPr>
          <w:lang w:val="ru-RU"/>
        </w:rPr>
        <w:t>7</w:t>
      </w:r>
      <w:r w:rsidRPr="00495C35">
        <w:t xml:space="preserve"> год – 1,</w:t>
      </w:r>
      <w:r w:rsidRPr="00495C35">
        <w:rPr>
          <w:lang w:val="ru-RU"/>
        </w:rPr>
        <w:t>513</w:t>
      </w:r>
      <w:r w:rsidRPr="00495C35">
        <w:t xml:space="preserve"> тыс. человек, 201</w:t>
      </w:r>
      <w:r w:rsidRPr="00495C35">
        <w:rPr>
          <w:lang w:val="ru-RU"/>
        </w:rPr>
        <w:t>8</w:t>
      </w:r>
      <w:r w:rsidRPr="00495C35">
        <w:t xml:space="preserve"> год – 1,5</w:t>
      </w:r>
      <w:r w:rsidRPr="00495C35">
        <w:rPr>
          <w:lang w:val="ru-RU"/>
        </w:rPr>
        <w:t>20</w:t>
      </w:r>
      <w:r w:rsidRPr="00495C35">
        <w:t xml:space="preserve"> тыс. человек.</w:t>
      </w:r>
      <w:r w:rsidRPr="00495C35">
        <w:rPr>
          <w:lang w:val="ru-RU"/>
        </w:rPr>
        <w:t xml:space="preserve">  </w:t>
      </w:r>
    </w:p>
    <w:p w:rsidR="00B467C3" w:rsidRPr="00495C35" w:rsidRDefault="00B467C3" w:rsidP="00B467C3">
      <w:pPr>
        <w:ind w:firstLine="709"/>
        <w:jc w:val="both"/>
      </w:pPr>
      <w:r w:rsidRPr="00495C35">
        <w:t xml:space="preserve">Численность сельского населения составляет 5,1% от численности населения,  проживающего на территории Белоярского района. </w:t>
      </w:r>
    </w:p>
    <w:p w:rsidR="00B467C3" w:rsidRPr="002851A2" w:rsidRDefault="00B467C3" w:rsidP="00B467C3">
      <w:pPr>
        <w:tabs>
          <w:tab w:val="left" w:pos="720"/>
        </w:tabs>
        <w:ind w:firstLine="709"/>
        <w:jc w:val="both"/>
      </w:pPr>
      <w:r w:rsidRPr="00495C35">
        <w:t xml:space="preserve">Доля населения сельского поселения Сосновка младше трудоспособного возраста составляет 24%, </w:t>
      </w:r>
      <w:r w:rsidRPr="002851A2">
        <w:t>трудоспособное население – 73%, старше трудоспособного – 3%.</w:t>
      </w:r>
    </w:p>
    <w:p w:rsidR="00B467C3" w:rsidRPr="002851A2" w:rsidRDefault="00B467C3" w:rsidP="00B467C3">
      <w:pPr>
        <w:tabs>
          <w:tab w:val="left" w:pos="720"/>
        </w:tabs>
        <w:ind w:firstLine="720"/>
        <w:jc w:val="both"/>
      </w:pPr>
    </w:p>
    <w:p w:rsidR="00B467C3" w:rsidRPr="002851A2" w:rsidRDefault="00B467C3" w:rsidP="00B467C3">
      <w:pPr>
        <w:pStyle w:val="af"/>
        <w:tabs>
          <w:tab w:val="left" w:pos="540"/>
        </w:tabs>
        <w:spacing w:after="0"/>
        <w:ind w:firstLine="709"/>
        <w:jc w:val="both"/>
        <w:rPr>
          <w:lang w:val="ru-RU"/>
        </w:rPr>
      </w:pPr>
      <w:r w:rsidRPr="002851A2">
        <w:rPr>
          <w:b/>
        </w:rPr>
        <w:t>Инвестиции</w:t>
      </w:r>
      <w:r w:rsidRPr="002851A2">
        <w:t>.</w:t>
      </w:r>
    </w:p>
    <w:p w:rsidR="00B467C3" w:rsidRDefault="00B467C3" w:rsidP="00B467C3">
      <w:pPr>
        <w:pStyle w:val="af"/>
        <w:tabs>
          <w:tab w:val="left" w:pos="540"/>
        </w:tabs>
        <w:spacing w:after="0"/>
        <w:ind w:firstLine="709"/>
        <w:jc w:val="both"/>
        <w:rPr>
          <w:lang w:val="ru-RU"/>
        </w:rPr>
      </w:pPr>
      <w:r w:rsidRPr="002851A2">
        <w:t>По итогам 201</w:t>
      </w:r>
      <w:r w:rsidRPr="002851A2">
        <w:rPr>
          <w:lang w:val="ru-RU"/>
        </w:rPr>
        <w:t>4</w:t>
      </w:r>
      <w:r w:rsidRPr="002851A2">
        <w:t xml:space="preserve"> года объем инвестиций в основной капитал за счет всех источников финансирования по крупным и средним  предприятиям поселения составил </w:t>
      </w:r>
      <w:r w:rsidRPr="002851A2">
        <w:rPr>
          <w:lang w:val="ru-RU"/>
        </w:rPr>
        <w:t>5,655</w:t>
      </w:r>
      <w:r w:rsidRPr="002851A2">
        <w:t xml:space="preserve"> млн. рублей. Объем инвестиций на душу населения составил </w:t>
      </w:r>
      <w:r w:rsidRPr="002851A2">
        <w:rPr>
          <w:lang w:val="ru-RU"/>
        </w:rPr>
        <w:t>3,73</w:t>
      </w:r>
      <w:r w:rsidRPr="002851A2">
        <w:t xml:space="preserve"> тыс. рублей.</w:t>
      </w:r>
    </w:p>
    <w:p w:rsidR="00B467C3" w:rsidRPr="00376B9D" w:rsidRDefault="00B467C3" w:rsidP="00B467C3">
      <w:pPr>
        <w:pStyle w:val="af"/>
        <w:tabs>
          <w:tab w:val="left" w:pos="540"/>
        </w:tabs>
        <w:spacing w:after="0"/>
        <w:ind w:firstLine="709"/>
        <w:jc w:val="both"/>
        <w:rPr>
          <w:lang w:val="ru-RU"/>
        </w:rPr>
      </w:pPr>
      <w:r w:rsidRPr="00376B9D">
        <w:rPr>
          <w:lang w:val="ru-RU"/>
        </w:rPr>
        <w:t>По предварительной оценке в 2015 году будет введено два 24-х квартирных жилых дома общей площадью 2</w:t>
      </w:r>
      <w:r>
        <w:rPr>
          <w:lang w:val="ru-RU"/>
        </w:rPr>
        <w:t xml:space="preserve"> </w:t>
      </w:r>
      <w:r w:rsidRPr="00376B9D">
        <w:rPr>
          <w:lang w:val="ru-RU"/>
        </w:rPr>
        <w:t>842 кв. м.</w:t>
      </w:r>
    </w:p>
    <w:p w:rsidR="00B467C3" w:rsidRPr="00851B71" w:rsidRDefault="00B467C3" w:rsidP="00B467C3">
      <w:pPr>
        <w:pStyle w:val="af"/>
        <w:spacing w:after="0"/>
        <w:ind w:firstLine="720"/>
        <w:jc w:val="both"/>
        <w:rPr>
          <w:lang w:val="ru-RU"/>
        </w:rPr>
      </w:pPr>
      <w:r w:rsidRPr="002851A2">
        <w:t>Одним из примеров государственного частного партнер</w:t>
      </w:r>
      <w:r>
        <w:t xml:space="preserve">ства является Соглашение с ОАО </w:t>
      </w:r>
      <w:r>
        <w:rPr>
          <w:lang w:val="ru-RU"/>
        </w:rPr>
        <w:t>«</w:t>
      </w:r>
      <w:r w:rsidRPr="002851A2">
        <w:t>Газпром</w:t>
      </w:r>
      <w:r>
        <w:rPr>
          <w:lang w:val="ru-RU"/>
        </w:rPr>
        <w:t>»</w:t>
      </w:r>
      <w:r w:rsidRPr="002851A2">
        <w:t xml:space="preserve">. Общество с ограниченной ответственностью «Газпром трансгаз Югорск», осуществляющее деятельность на территории Белоярского района принимает активное участие в финансировании строительства автомобильной дороги к поселку Сосновка (автомобильная дорога «Югорск – Советский – Верхнеказымский – Надым, граница Ханты-Мансийского автономного округа – Югры» (участок км 474,7-км 488,9). </w:t>
      </w:r>
      <w:r>
        <w:rPr>
          <w:lang w:val="ru-RU"/>
        </w:rPr>
        <w:t xml:space="preserve">По состоянию на </w:t>
      </w:r>
      <w:r w:rsidRPr="00851B71">
        <w:rPr>
          <w:szCs w:val="24"/>
          <w:lang w:val="ru-RU"/>
        </w:rPr>
        <w:t xml:space="preserve">сентябрь </w:t>
      </w:r>
      <w:r w:rsidRPr="00851B71">
        <w:rPr>
          <w:szCs w:val="24"/>
        </w:rPr>
        <w:t>201</w:t>
      </w:r>
      <w:r w:rsidRPr="00851B71">
        <w:rPr>
          <w:szCs w:val="24"/>
          <w:lang w:val="ru-RU"/>
        </w:rPr>
        <w:t xml:space="preserve">5 года </w:t>
      </w:r>
      <w:r w:rsidRPr="00851B71">
        <w:rPr>
          <w:rFonts w:eastAsia="Calibri"/>
          <w:szCs w:val="24"/>
        </w:rPr>
        <w:t xml:space="preserve">завершены работы по устройству верхнего слоя щебеночного основания, ведутся работы по укладке нижнего слоя асфальтового покрытия, уже проложено 6 км. Также ведется строительство мостовых переходов, </w:t>
      </w:r>
      <w:r w:rsidRPr="00851B71">
        <w:rPr>
          <w:rFonts w:eastAsia="Calibri"/>
          <w:szCs w:val="24"/>
          <w:lang w:val="ru-RU"/>
        </w:rPr>
        <w:t>у</w:t>
      </w:r>
      <w:r w:rsidRPr="00851B71">
        <w:rPr>
          <w:rFonts w:eastAsia="Calibri"/>
          <w:szCs w:val="24"/>
        </w:rPr>
        <w:t>силены опоры мостов и ведутся работы по покрытию мостовых переходов.</w:t>
      </w:r>
    </w:p>
    <w:p w:rsidR="00B467C3" w:rsidRPr="00851B71" w:rsidRDefault="00B467C3" w:rsidP="00B467C3">
      <w:pPr>
        <w:tabs>
          <w:tab w:val="left" w:pos="720"/>
        </w:tabs>
        <w:ind w:firstLine="720"/>
        <w:jc w:val="both"/>
      </w:pPr>
    </w:p>
    <w:p w:rsidR="00B467C3" w:rsidRPr="0083554E" w:rsidRDefault="00B467C3" w:rsidP="00B467C3">
      <w:pPr>
        <w:pStyle w:val="af"/>
        <w:tabs>
          <w:tab w:val="left" w:pos="709"/>
        </w:tabs>
        <w:spacing w:after="0"/>
        <w:ind w:firstLine="709"/>
        <w:jc w:val="both"/>
        <w:rPr>
          <w:szCs w:val="24"/>
        </w:rPr>
      </w:pPr>
      <w:r w:rsidRPr="00851B71">
        <w:rPr>
          <w:b/>
          <w:szCs w:val="24"/>
        </w:rPr>
        <w:t>Прогноз</w:t>
      </w:r>
      <w:r w:rsidRPr="0083554E">
        <w:rPr>
          <w:b/>
          <w:szCs w:val="24"/>
        </w:rPr>
        <w:t xml:space="preserve"> промышленного производства</w:t>
      </w:r>
      <w:r w:rsidRPr="0083554E">
        <w:rPr>
          <w:szCs w:val="24"/>
        </w:rPr>
        <w:t xml:space="preserve"> сельского поселения Сосновка сформирован с учетом тенденций развития производства, анализа положения на внутреннем рынке и других условий промышленной деятельности. </w:t>
      </w:r>
    </w:p>
    <w:p w:rsidR="00B467C3" w:rsidRPr="0083554E" w:rsidRDefault="00B467C3" w:rsidP="00B467C3">
      <w:pPr>
        <w:ind w:firstLine="720"/>
        <w:jc w:val="both"/>
      </w:pPr>
      <w:r w:rsidRPr="0083554E">
        <w:t>Промышленность сельского поселения Сосновка представлена следующими предприятиями:</w:t>
      </w:r>
    </w:p>
    <w:p w:rsidR="00B467C3" w:rsidRPr="0083554E" w:rsidRDefault="00B467C3" w:rsidP="00B467C3">
      <w:pPr>
        <w:ind w:firstLine="720"/>
        <w:jc w:val="both"/>
      </w:pPr>
      <w:r w:rsidRPr="0083554E">
        <w:t xml:space="preserve">- Сосновское линейно-производственное управление (далее – ЛПУ) магистральных газопроводов ООО «Газпром трансгаз Югорск» (управление транспортировкой газа по </w:t>
      </w:r>
      <w:r w:rsidRPr="0083554E">
        <w:lastRenderedPageBreak/>
        <w:t>трубопроводам, предоставление услуг гостиниц, производство электроэнергии, теплоэнергии и воды);</w:t>
      </w:r>
    </w:p>
    <w:p w:rsidR="00B467C3" w:rsidRPr="0083554E" w:rsidRDefault="00B467C3" w:rsidP="00B467C3">
      <w:pPr>
        <w:ind w:firstLine="720"/>
        <w:jc w:val="both"/>
      </w:pPr>
      <w:r w:rsidRPr="0083554E">
        <w:t>- филиал «Белоярскгазторг» ООО «Запсибгазторг» (выпуск хлеба и хлебобулочных изделий).</w:t>
      </w:r>
    </w:p>
    <w:p w:rsidR="00B467C3" w:rsidRPr="0083554E" w:rsidRDefault="00B467C3" w:rsidP="00B467C3">
      <w:pPr>
        <w:ind w:firstLine="720"/>
        <w:jc w:val="both"/>
      </w:pPr>
      <w:r w:rsidRPr="0083554E">
        <w:t>Самым крупным предприятием, обеспечивающим значительную часть  сельского поселения Сосновка рабочими местами, является Сосновское ЛПУ МГ ООО «Газпром трансгаз Югорск».</w:t>
      </w:r>
    </w:p>
    <w:p w:rsidR="00B467C3" w:rsidRPr="00923F1F" w:rsidRDefault="00B467C3" w:rsidP="00B467C3">
      <w:pPr>
        <w:tabs>
          <w:tab w:val="left" w:pos="851"/>
        </w:tabs>
        <w:jc w:val="both"/>
      </w:pPr>
      <w:r w:rsidRPr="0083554E">
        <w:t xml:space="preserve">           По предварительной оценке, в 2015 году объем промышленного производства в действующих </w:t>
      </w:r>
      <w:r w:rsidRPr="00DC2357">
        <w:t>ценах ожидается в 11,4 млн. рублей, индекс производс</w:t>
      </w:r>
      <w:r>
        <w:t>тва –</w:t>
      </w:r>
      <w:r w:rsidRPr="00DC2357">
        <w:t xml:space="preserve"> 1</w:t>
      </w:r>
      <w:r>
        <w:t>05,2</w:t>
      </w:r>
      <w:r w:rsidRPr="00DC2357">
        <w:t xml:space="preserve">% </w:t>
      </w:r>
      <w:r>
        <w:t xml:space="preserve">в сопоставимых </w:t>
      </w:r>
      <w:r w:rsidRPr="00923F1F">
        <w:t xml:space="preserve">ценах к уровню 2014 года.  </w:t>
      </w:r>
    </w:p>
    <w:p w:rsidR="00B467C3" w:rsidRPr="00923F1F" w:rsidRDefault="00B467C3" w:rsidP="00B467C3">
      <w:pPr>
        <w:tabs>
          <w:tab w:val="left" w:pos="851"/>
        </w:tabs>
        <w:ind w:firstLine="709"/>
        <w:jc w:val="both"/>
      </w:pPr>
      <w:r w:rsidRPr="00923F1F">
        <w:t xml:space="preserve">В прогнозный период  </w:t>
      </w:r>
      <w:r>
        <w:t xml:space="preserve">2016-2018 годов </w:t>
      </w:r>
      <w:r w:rsidRPr="00923F1F">
        <w:t>индекс промышленного производства по первому варианту закладывается на уровне: в 2016 году – 100,3% в сопоставимых ценах к 2015 году, в 2017 году – 101,6% в сопоставимых ценах к 2016 году, в 2018 году – 101,5% в сопоставимых ценах к 2017 году.</w:t>
      </w:r>
    </w:p>
    <w:p w:rsidR="00B467C3" w:rsidRDefault="00B467C3" w:rsidP="00B467C3">
      <w:pPr>
        <w:tabs>
          <w:tab w:val="left" w:pos="851"/>
        </w:tabs>
        <w:ind w:firstLine="709"/>
        <w:jc w:val="right"/>
      </w:pPr>
    </w:p>
    <w:p w:rsidR="00B467C3" w:rsidRPr="001E192C" w:rsidRDefault="00B467C3" w:rsidP="00B467C3">
      <w:pPr>
        <w:tabs>
          <w:tab w:val="left" w:pos="851"/>
        </w:tabs>
        <w:ind w:firstLine="709"/>
        <w:jc w:val="right"/>
      </w:pPr>
      <w:r w:rsidRPr="001E192C">
        <w:t>Диаграмма 1</w:t>
      </w:r>
    </w:p>
    <w:p w:rsidR="00B467C3" w:rsidRPr="000B01A4" w:rsidRDefault="00B467C3" w:rsidP="00B467C3">
      <w:pPr>
        <w:tabs>
          <w:tab w:val="left" w:pos="851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55563" cy="2787056"/>
            <wp:effectExtent l="12192" t="5674" r="4445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7C3" w:rsidRPr="000B01A4" w:rsidRDefault="00B467C3" w:rsidP="00B467C3">
      <w:pPr>
        <w:pStyle w:val="ad"/>
        <w:tabs>
          <w:tab w:val="left" w:pos="0"/>
        </w:tabs>
        <w:spacing w:after="0" w:line="264" w:lineRule="auto"/>
        <w:ind w:left="0"/>
        <w:jc w:val="both"/>
        <w:rPr>
          <w:color w:val="FF0000"/>
        </w:rPr>
      </w:pPr>
      <w:r w:rsidRPr="000B01A4">
        <w:rPr>
          <w:color w:val="FF0000"/>
        </w:rPr>
        <w:tab/>
        <w:t xml:space="preserve"> </w:t>
      </w:r>
    </w:p>
    <w:p w:rsidR="00B467C3" w:rsidRPr="000B01A4" w:rsidRDefault="00B467C3" w:rsidP="00B467C3">
      <w:pPr>
        <w:ind w:firstLine="720"/>
        <w:jc w:val="both"/>
        <w:rPr>
          <w:color w:val="FF0000"/>
        </w:rPr>
      </w:pPr>
      <w:r w:rsidRPr="004159AE">
        <w:t xml:space="preserve">Выпуск хлеба и хлебобулочных изделий в оценке 2015 года составит 40,0 тонн. В 2016 – 2018 годах </w:t>
      </w:r>
      <w:r w:rsidRPr="00946F6B">
        <w:t>физические показатели производства хлеба ожидаются на уровне не ниже оценочного 2015 года.</w:t>
      </w:r>
      <w:r w:rsidRPr="000B01A4">
        <w:rPr>
          <w:color w:val="FF0000"/>
        </w:rPr>
        <w:t xml:space="preserve">  </w:t>
      </w:r>
    </w:p>
    <w:p w:rsidR="00B467C3" w:rsidRPr="000B01A4" w:rsidRDefault="00B467C3" w:rsidP="00B467C3">
      <w:pPr>
        <w:ind w:firstLine="720"/>
        <w:jc w:val="both"/>
        <w:rPr>
          <w:color w:val="FF0000"/>
        </w:rPr>
      </w:pPr>
      <w:r w:rsidRPr="003079E5">
        <w:t>В 2015 году на территории сельского поселения Сосновка осуществляют свою деятельность</w:t>
      </w:r>
      <w:r w:rsidRPr="000B01A4">
        <w:rPr>
          <w:color w:val="FF0000"/>
        </w:rPr>
        <w:t xml:space="preserve"> </w:t>
      </w:r>
      <w:r w:rsidRPr="00426481">
        <w:t xml:space="preserve">13 индивидуальных предпринимателей. Сферу потребительского рынка сельского поселения Сосновка представляют 14 магазинов розничной торговли с торговой площадью 594,6 кв. метра, 4 предприятия общественного </w:t>
      </w:r>
      <w:r w:rsidRPr="003079E5">
        <w:t xml:space="preserve">питания с числом посадочных мест – 285 мест и площадью залов обслуживания посетителей – </w:t>
      </w:r>
      <w:smartTag w:uri="urn:schemas-microsoft-com:office:smarttags" w:element="metricconverter">
        <w:smartTagPr>
          <w:attr w:name="ProductID" w:val="443,6 кв. метров"/>
        </w:smartTagPr>
        <w:r w:rsidRPr="003079E5">
          <w:t>443,6 кв. метров</w:t>
        </w:r>
      </w:smartTag>
      <w:r w:rsidRPr="003079E5">
        <w:t>.</w:t>
      </w:r>
    </w:p>
    <w:p w:rsidR="00B467C3" w:rsidRPr="00946F6B" w:rsidRDefault="00B467C3" w:rsidP="00B467C3">
      <w:pPr>
        <w:ind w:firstLine="708"/>
        <w:jc w:val="both"/>
      </w:pPr>
      <w:r w:rsidRPr="00946F6B"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 собственности. Самое крупное – филиал «Белоярскгазторг» ООО «Запсибгазторг». Основная часть  оборота  розничной  торговли обеспечивается представителями  малого бизнеса (индивидуальными предпринимателями, осуществляющими свою деятельность без образования юридического лица).</w:t>
      </w:r>
    </w:p>
    <w:p w:rsidR="00B467C3" w:rsidRPr="00946F6B" w:rsidRDefault="00B467C3" w:rsidP="00B467C3">
      <w:pPr>
        <w:ind w:firstLine="720"/>
        <w:jc w:val="both"/>
      </w:pPr>
      <w:r w:rsidRPr="00946F6B">
        <w:t xml:space="preserve">В оценке 2015 года жителям сельского поселения Сосновка в денежном эквиваленте будет продано товаров, оказано услуг общественного питания и платных услуг на сумму 175,3 млн. рублей или 102,2% в сопоставимых ценах к уровню 2014 года. </w:t>
      </w:r>
    </w:p>
    <w:p w:rsidR="00B467C3" w:rsidRPr="00946F6B" w:rsidRDefault="00B467C3" w:rsidP="00B467C3">
      <w:pPr>
        <w:ind w:firstLine="708"/>
        <w:jc w:val="both"/>
      </w:pPr>
      <w:r w:rsidRPr="00946F6B">
        <w:t>Показатель</w:t>
      </w:r>
      <w:r w:rsidRPr="00946F6B">
        <w:rPr>
          <w:b/>
        </w:rPr>
        <w:t xml:space="preserve"> оборота розничной торговли</w:t>
      </w:r>
      <w:r w:rsidRPr="00946F6B">
        <w:t xml:space="preserve"> в 2015 году составит 125,3 млн. рублей, индекс физического объема составит 102,1%. В 2016 году розничный товарооборот </w:t>
      </w:r>
      <w:r w:rsidRPr="00946F6B">
        <w:lastRenderedPageBreak/>
        <w:t>ожидается в размере 138,4 млн. рублей, что составит 103,6% в сопоставимых  ценах  к предыдущему году. В 2017-2018 гг. индекс физического объема данного показателя будет на уровне 105,0-105,3%.</w:t>
      </w:r>
    </w:p>
    <w:p w:rsidR="00B467C3" w:rsidRPr="00BF7ACA" w:rsidRDefault="00B467C3" w:rsidP="00B467C3">
      <w:pPr>
        <w:ind w:firstLine="708"/>
        <w:jc w:val="both"/>
        <w:rPr>
          <w:sz w:val="25"/>
          <w:szCs w:val="25"/>
        </w:rPr>
      </w:pPr>
      <w:r w:rsidRPr="00BF7ACA">
        <w:t xml:space="preserve">В оценке 2015 года показатель </w:t>
      </w:r>
      <w:r w:rsidRPr="00BF7ACA">
        <w:rPr>
          <w:b/>
        </w:rPr>
        <w:t>оборота общественного питания</w:t>
      </w:r>
      <w:r w:rsidRPr="00BF7ACA">
        <w:t xml:space="preserve"> составит                       17,8 млн. рублей, индекс физического объема – 105,7% по отношению к 2014 году. В прогнозируемом 2016 году показатель оборота общественного питания составит                     20,3 млн. рублей, индекс физического объема – 106,2 % по отношению к 2015 году. В 2017-2018 гг. индекс физического объема данного показателя ожидается на уровне 106,5-107,1%.</w:t>
      </w:r>
    </w:p>
    <w:p w:rsidR="00B467C3" w:rsidRPr="00BF7ACA" w:rsidRDefault="00B467C3" w:rsidP="00B467C3">
      <w:pPr>
        <w:ind w:firstLine="720"/>
        <w:jc w:val="both"/>
      </w:pPr>
      <w:r w:rsidRPr="00BF7ACA">
        <w:t xml:space="preserve">По оценочным данным </w:t>
      </w:r>
      <w:r w:rsidRPr="00BF7ACA">
        <w:rPr>
          <w:b/>
        </w:rPr>
        <w:t>объем платных услуг</w:t>
      </w:r>
      <w:r w:rsidRPr="00BF7ACA">
        <w:t>, предоставляемых населению, в     2015 году составит 32,1 млн. рублей, индекс физического объема – 102,5% по отношению к 2014 году. В прогнозируемом 2016 году данный показатель составит 35,9 млн. рублей, индекс физического объема – 103,4 % по отношению к 2015 году. В 2017-2018 гг. объем платных услуг по первому варианту прогноза составит 40,0 млн. рублей и 44,5 млн. рублей соответственно (индекс физического объема соответственно составит 104,9% и 106,1% в сопоставимых ценах).</w:t>
      </w:r>
    </w:p>
    <w:p w:rsidR="00B467C3" w:rsidRPr="003079E5" w:rsidRDefault="00B467C3" w:rsidP="00B467C3">
      <w:pPr>
        <w:ind w:firstLine="720"/>
        <w:jc w:val="right"/>
      </w:pPr>
      <w:r w:rsidRPr="003079E5">
        <w:t>Диаграмма 2</w:t>
      </w:r>
    </w:p>
    <w:p w:rsidR="00B467C3" w:rsidRPr="003079E5" w:rsidRDefault="00B467C3" w:rsidP="00B467C3">
      <w:r>
        <w:rPr>
          <w:noProof/>
        </w:rPr>
        <w:drawing>
          <wp:inline distT="0" distB="0" distL="0" distR="0">
            <wp:extent cx="5923291" cy="3488690"/>
            <wp:effectExtent l="5869" t="0" r="4280" b="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67C3" w:rsidRPr="000B01A4" w:rsidRDefault="00B467C3" w:rsidP="00B467C3">
      <w:pPr>
        <w:rPr>
          <w:color w:val="FF0000"/>
        </w:rPr>
      </w:pPr>
    </w:p>
    <w:p w:rsidR="00B467C3" w:rsidRPr="00495C35" w:rsidRDefault="00B467C3" w:rsidP="00B467C3">
      <w:pPr>
        <w:pStyle w:val="ad"/>
        <w:spacing w:after="0"/>
        <w:ind w:left="0" w:firstLine="720"/>
        <w:jc w:val="both"/>
        <w:rPr>
          <w:szCs w:val="24"/>
        </w:rPr>
      </w:pPr>
      <w:r w:rsidRPr="00495C35">
        <w:rPr>
          <w:szCs w:val="24"/>
        </w:rPr>
        <w:t xml:space="preserve">На территории сельского поселения функционирует Сосновская </w:t>
      </w:r>
      <w:r w:rsidRPr="00495C35">
        <w:rPr>
          <w:b/>
          <w:szCs w:val="24"/>
        </w:rPr>
        <w:t>амбулатория</w:t>
      </w:r>
      <w:r w:rsidRPr="00495C35">
        <w:rPr>
          <w:szCs w:val="24"/>
        </w:rPr>
        <w:t xml:space="preserve"> на 34 посещения в смену. Обеспеченность амбулаторно-поликлиническими учреждениями в прогнозном 2016 году составит 124% от норматива.</w:t>
      </w:r>
    </w:p>
    <w:p w:rsidR="00B467C3" w:rsidRPr="00495C35" w:rsidRDefault="00B467C3" w:rsidP="00B467C3">
      <w:pPr>
        <w:ind w:firstLine="720"/>
        <w:jc w:val="both"/>
      </w:pPr>
      <w:r w:rsidRPr="00495C35">
        <w:t xml:space="preserve">В сельском поселении Сосновка действует одно </w:t>
      </w:r>
      <w:r w:rsidRPr="00495C35">
        <w:rPr>
          <w:b/>
        </w:rPr>
        <w:t>дошкольное образовательное</w:t>
      </w:r>
      <w:r w:rsidRPr="00495C35">
        <w:t xml:space="preserve"> учреждение мощностью 110 мест при количестве посещающих 118 детей. В 2015 году обеспеченность дошкольными образователь</w:t>
      </w:r>
      <w:r>
        <w:t xml:space="preserve">ными учреждениями </w:t>
      </w:r>
      <w:r w:rsidRPr="00495C35">
        <w:t xml:space="preserve">составила 85 % от норматива. </w:t>
      </w:r>
    </w:p>
    <w:p w:rsidR="00B467C3" w:rsidRPr="00495C35" w:rsidRDefault="00B467C3" w:rsidP="00B467C3">
      <w:pPr>
        <w:shd w:val="clear" w:color="auto" w:fill="FFFFFF"/>
        <w:ind w:firstLine="720"/>
        <w:jc w:val="both"/>
      </w:pPr>
      <w:r w:rsidRPr="00495C35">
        <w:rPr>
          <w:b/>
        </w:rPr>
        <w:t>Общеобразовательные услуги</w:t>
      </w:r>
      <w:r w:rsidRPr="00495C35">
        <w:t xml:space="preserve"> на территории сельского поселения Сосновка оказывает одно общеобразовательное учреждение в типовом исполнении на 220 мест. Численность учащихся на 1 сентября 2015 года составила 220 человек. Обеспеченность общеобразовательными учреждениями в прогнозном 2015 году составит 103% от норматива.</w:t>
      </w:r>
    </w:p>
    <w:p w:rsidR="00B467C3" w:rsidRPr="00495C35" w:rsidRDefault="00B467C3" w:rsidP="00B467C3">
      <w:pPr>
        <w:ind w:firstLine="720"/>
        <w:jc w:val="both"/>
      </w:pPr>
      <w:r w:rsidRPr="00495C35">
        <w:t xml:space="preserve">На территории сельского поселения Сосновка действует одно учреждение </w:t>
      </w:r>
      <w:r w:rsidRPr="00495C35">
        <w:rPr>
          <w:b/>
        </w:rPr>
        <w:t>физической культуры и спорта</w:t>
      </w:r>
      <w:r w:rsidRPr="00495C35">
        <w:t xml:space="preserve"> – физкультурно-оздоровительный комплекс </w:t>
      </w:r>
      <w:r w:rsidRPr="00495C35">
        <w:lastRenderedPageBreak/>
        <w:t>Сосновского линейно-производственного управления магистральных газопроводов             ООО «Газпром трансгаз Югорск» с единовременной пропускной способностью                      117 человек. Единовременная пропускная способ</w:t>
      </w:r>
      <w:r>
        <w:t xml:space="preserve">ность всех спортивных объектов </w:t>
      </w:r>
      <w:r w:rsidRPr="00495C35">
        <w:t xml:space="preserve">в             2015 году составила 208 человек. Обеспеченность объектами физической культуры и спорта в прогнозном 2015 году составит 72% от норматива. </w:t>
      </w:r>
    </w:p>
    <w:p w:rsidR="00B467C3" w:rsidRPr="00DC6A4E" w:rsidRDefault="00B467C3" w:rsidP="00B467C3">
      <w:pPr>
        <w:ind w:firstLine="720"/>
        <w:jc w:val="both"/>
      </w:pPr>
      <w:r w:rsidRPr="00DC6A4E">
        <w:t xml:space="preserve">Структура учреждений </w:t>
      </w:r>
      <w:r w:rsidRPr="00DC6A4E">
        <w:rPr>
          <w:b/>
        </w:rPr>
        <w:t xml:space="preserve">культуры </w:t>
      </w:r>
      <w:r>
        <w:t xml:space="preserve">включает в себя </w:t>
      </w:r>
      <w:r w:rsidRPr="00DC6A4E">
        <w:t>2 учрежде</w:t>
      </w:r>
      <w:r>
        <w:t xml:space="preserve">ния культурно-досугового типа, </w:t>
      </w:r>
      <w:r w:rsidRPr="00DC6A4E">
        <w:t>1 библиотеку, входящую в централизованную библио</w:t>
      </w:r>
      <w:r>
        <w:t xml:space="preserve">течную систему, сельский класс </w:t>
      </w:r>
      <w:r w:rsidRPr="00DC6A4E">
        <w:t>детской школы искусств.</w:t>
      </w:r>
    </w:p>
    <w:p w:rsidR="00B467C3" w:rsidRPr="00DC6A4E" w:rsidRDefault="00B467C3" w:rsidP="00B467C3">
      <w:pPr>
        <w:ind w:firstLine="720"/>
        <w:jc w:val="both"/>
      </w:pPr>
      <w:r w:rsidRPr="00DC6A4E">
        <w:t>Сфера культуры представлена домом культуры и культурно-спортивным комплексом, расположенных в одном здании, мощностью 300 мест. Обеспеченность учреждениями культурно-досугового типа в прогнозном 2016 году составит 132% от норматива. Обеспеченность общедоступными библиотеками в 2015 году составит 100% от норматива.</w:t>
      </w:r>
    </w:p>
    <w:p w:rsidR="00B467C3" w:rsidRDefault="00B467C3" w:rsidP="00B467C3">
      <w:pPr>
        <w:ind w:firstLine="720"/>
        <w:jc w:val="both"/>
      </w:pPr>
      <w:r w:rsidRPr="00DC6A4E">
        <w:t>В целях повышения компьютерной грамотности населения в рамках реализации</w:t>
      </w:r>
      <w:r>
        <w:t xml:space="preserve"> программы «Электронная Югра» в</w:t>
      </w:r>
      <w:r w:rsidRPr="00DC6A4E">
        <w:t xml:space="preserve"> п. Сосновка действует центр общественного доступа, где любой гражданин может</w:t>
      </w:r>
      <w:r w:rsidRPr="00DC6A4E">
        <w:rPr>
          <w:rFonts w:eastAsia="Symbol"/>
        </w:rPr>
        <w:t xml:space="preserve"> </w:t>
      </w:r>
      <w:r w:rsidRPr="00DC6A4E"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</w:p>
    <w:p w:rsidR="00B467C3" w:rsidRPr="00DC6A4E" w:rsidRDefault="00B467C3" w:rsidP="00B467C3">
      <w:pPr>
        <w:ind w:firstLine="720"/>
        <w:jc w:val="both"/>
      </w:pPr>
    </w:p>
    <w:p w:rsidR="00B467C3" w:rsidRPr="00BA5112" w:rsidRDefault="00B467C3" w:rsidP="00B467C3">
      <w:pPr>
        <w:ind w:firstLine="720"/>
        <w:jc w:val="both"/>
      </w:pPr>
      <w:r w:rsidRPr="00AF6D3C">
        <w:rPr>
          <w:b/>
        </w:rPr>
        <w:t xml:space="preserve">Доходная часть бюджета </w:t>
      </w:r>
      <w:r w:rsidRPr="00AF6D3C">
        <w:t xml:space="preserve">сельского поселения Сосновка в оценке 2015 года </w:t>
      </w:r>
      <w:r w:rsidRPr="00AF6D3C">
        <w:rPr>
          <w:b/>
        </w:rPr>
        <w:t>по собственным</w:t>
      </w:r>
      <w:r w:rsidRPr="00AF6D3C">
        <w:t xml:space="preserve"> н</w:t>
      </w:r>
      <w:r>
        <w:t xml:space="preserve">алоговым и неналоговым доходам </w:t>
      </w:r>
      <w:r w:rsidRPr="00AF6D3C">
        <w:t>составит 13 702,1</w:t>
      </w:r>
      <w:r>
        <w:t xml:space="preserve"> тыс.</w:t>
      </w:r>
      <w:r w:rsidRPr="00AF6D3C">
        <w:t>рублей.</w:t>
      </w:r>
    </w:p>
    <w:p w:rsidR="00B467C3" w:rsidRPr="00AF6D3C" w:rsidRDefault="00B467C3" w:rsidP="00B467C3">
      <w:pPr>
        <w:ind w:firstLine="720"/>
        <w:jc w:val="right"/>
      </w:pPr>
      <w:r w:rsidRPr="00AF6D3C">
        <w:t>Таблица 2</w:t>
      </w:r>
    </w:p>
    <w:p w:rsidR="00B467C3" w:rsidRPr="00AF6D3C" w:rsidRDefault="00B467C3" w:rsidP="00B467C3">
      <w:pPr>
        <w:ind w:firstLine="720"/>
        <w:jc w:val="center"/>
        <w:rPr>
          <w:b/>
        </w:rPr>
      </w:pPr>
      <w:r w:rsidRPr="00AF6D3C">
        <w:rPr>
          <w:b/>
        </w:rPr>
        <w:t>Анализ поступления собственных доходов в бюджет с.п. Сосновка</w:t>
      </w:r>
    </w:p>
    <w:p w:rsidR="00B467C3" w:rsidRPr="00AF6D3C" w:rsidRDefault="00B467C3" w:rsidP="00B467C3">
      <w:pPr>
        <w:ind w:firstLine="720"/>
        <w:jc w:val="right"/>
      </w:pPr>
      <w:r w:rsidRPr="00AF6D3C">
        <w:t>тыс.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2283"/>
        <w:gridCol w:w="993"/>
        <w:gridCol w:w="993"/>
        <w:gridCol w:w="982"/>
        <w:gridCol w:w="718"/>
        <w:gridCol w:w="992"/>
        <w:gridCol w:w="709"/>
        <w:gridCol w:w="992"/>
        <w:gridCol w:w="851"/>
      </w:tblGrid>
      <w:tr w:rsidR="00B467C3" w:rsidRPr="00C136C9" w:rsidTr="001275CA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ind w:right="-108"/>
              <w:jc w:val="center"/>
              <w:rPr>
                <w:sz w:val="20"/>
              </w:rPr>
            </w:pPr>
            <w:r w:rsidRPr="00C136C9">
              <w:rPr>
                <w:sz w:val="20"/>
              </w:rPr>
              <w:t>2014 год 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2015 год оценка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2016 год прогноз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C3" w:rsidRPr="00C136C9" w:rsidRDefault="00B467C3" w:rsidP="001275CA">
            <w:pPr>
              <w:tabs>
                <w:tab w:val="left" w:pos="910"/>
              </w:tabs>
              <w:ind w:right="-108"/>
              <w:jc w:val="center"/>
              <w:rPr>
                <w:sz w:val="18"/>
                <w:szCs w:val="18"/>
              </w:rPr>
            </w:pPr>
            <w:r w:rsidRPr="00C136C9">
              <w:rPr>
                <w:sz w:val="18"/>
                <w:szCs w:val="18"/>
              </w:rPr>
              <w:t>Темп роста (2016г./ 2015г.)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2017 год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18"/>
                <w:szCs w:val="18"/>
              </w:rPr>
            </w:pPr>
            <w:r w:rsidRPr="00C136C9">
              <w:rPr>
                <w:sz w:val="18"/>
                <w:szCs w:val="18"/>
              </w:rPr>
              <w:t>Темп роста (2017г./2016г.)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2018 год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18"/>
                <w:szCs w:val="18"/>
              </w:rPr>
            </w:pPr>
            <w:r w:rsidRPr="00C136C9">
              <w:rPr>
                <w:sz w:val="18"/>
                <w:szCs w:val="18"/>
              </w:rPr>
              <w:t>Темп роста (2018г./2017г.)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1. 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12 632,9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13 678,8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14 098,0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14 513,7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15 021,4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103,5  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1.1.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12 449,9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13 545,0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13 950,7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14 362,4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14 863,1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103,5  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1.2.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131,8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1.3.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55,3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53,2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54,3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54,3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54,3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100,0  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1.4.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75,0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100,0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 xml:space="preserve">2. Неналоговые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913,6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23,3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23,4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23,4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100,0  </w:t>
            </w:r>
          </w:p>
        </w:tc>
      </w:tr>
      <w:tr w:rsidR="00B467C3" w:rsidRPr="00C136C9" w:rsidTr="001275CA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2.1. Доходы от использования имущества, находящегося в гос. и мун.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866,7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2,4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100,0  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2.2. 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100,0</w:t>
            </w:r>
          </w:p>
        </w:tc>
      </w:tr>
      <w:tr w:rsidR="00B467C3" w:rsidRPr="00C136C9" w:rsidTr="001275CA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 w:rsidRPr="00C136C9">
              <w:rPr>
                <w:sz w:val="20"/>
              </w:rPr>
              <w:t>2.3. Доходы от продажи матер. и нематер.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rPr>
                <w:sz w:val="20"/>
              </w:rPr>
            </w:pPr>
            <w:r>
              <w:rPr>
                <w:sz w:val="20"/>
              </w:rPr>
              <w:t>2.4.</w:t>
            </w:r>
            <w:r w:rsidRPr="00C136C9">
              <w:rPr>
                <w:sz w:val="20"/>
              </w:rPr>
              <w:t xml:space="preserve">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3,6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0,0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 w:rsidRPr="00C136C9">
              <w:rPr>
                <w:sz w:val="2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67C3" w:rsidRPr="00C136C9" w:rsidTr="001275C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>Итого 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13 546,5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13 702,1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14 121,4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>14 537,1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102,9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15 044,8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67C3" w:rsidRPr="00C136C9" w:rsidRDefault="00B467C3" w:rsidP="001275CA">
            <w:pPr>
              <w:jc w:val="center"/>
              <w:rPr>
                <w:b/>
                <w:bCs/>
                <w:sz w:val="20"/>
              </w:rPr>
            </w:pPr>
            <w:r w:rsidRPr="00C136C9">
              <w:rPr>
                <w:b/>
                <w:bCs/>
                <w:sz w:val="20"/>
              </w:rPr>
              <w:t xml:space="preserve">103,5  </w:t>
            </w:r>
          </w:p>
        </w:tc>
      </w:tr>
    </w:tbl>
    <w:p w:rsidR="00B467C3" w:rsidRPr="000B01A4" w:rsidRDefault="00B467C3" w:rsidP="00B467C3">
      <w:pPr>
        <w:jc w:val="both"/>
        <w:rPr>
          <w:color w:val="FF0000"/>
        </w:rPr>
      </w:pPr>
    </w:p>
    <w:p w:rsidR="00B467C3" w:rsidRPr="009305B5" w:rsidRDefault="00B467C3" w:rsidP="00B467C3">
      <w:pPr>
        <w:ind w:firstLine="720"/>
        <w:jc w:val="both"/>
      </w:pPr>
      <w:r w:rsidRPr="009305B5">
        <w:lastRenderedPageBreak/>
        <w:t>Бюджет сельского поселения  Сосновка по доходам на 2015 год прогнозируется  в сумме 19 727,0 тыс. руб., на 2016 год – 18 946,3 тыс. руб.</w:t>
      </w:r>
    </w:p>
    <w:p w:rsidR="00B467C3" w:rsidRPr="005E6E7C" w:rsidRDefault="00B467C3" w:rsidP="00B467C3">
      <w:pPr>
        <w:ind w:firstLine="720"/>
        <w:jc w:val="both"/>
      </w:pPr>
      <w:r w:rsidRPr="005E6E7C">
        <w:t xml:space="preserve">Структура  поступлений в бюджет сельского поселения  Сосновка за период с 2016 года по 2018 год существенно не изменится. Собственные </w:t>
      </w:r>
      <w:r>
        <w:t xml:space="preserve">налоговые и неналоговые </w:t>
      </w:r>
      <w:r w:rsidRPr="005E6E7C">
        <w:t xml:space="preserve">доходы бюджета сельского поселения Сосновка в плановом периоде 2016-2018 годов составят: 2016 год  - 14 121,4 тыс. руб., 2017 год – 14 537,1 тыс. руб., 2018 год – 15 044,8 тыс. руб. </w:t>
      </w:r>
    </w:p>
    <w:p w:rsidR="00B467C3" w:rsidRPr="005E6E7C" w:rsidRDefault="00B467C3" w:rsidP="00B467C3">
      <w:pPr>
        <w:ind w:firstLine="720"/>
        <w:jc w:val="both"/>
      </w:pPr>
      <w:r w:rsidRPr="005E6E7C">
        <w:t xml:space="preserve">Основным налоговым источником формирования доходной части бюджета сельского поселения Сосновка является  налог на доходы с физических лиц: в 2016 году  в бюджет сельского поселения Сосновка поступит 13 950,7 тыс. рублей, в 2017 году – 14 362,4 тыс. рублей, в 2018 году – 14 362,4 тыс. рублей. Темпы роста поступлений налога на доходы с физических лиц составят  в 2016 и 2017 годах – 103 %,  в 2018 году – 103,5%. </w:t>
      </w:r>
    </w:p>
    <w:p w:rsidR="00B467C3" w:rsidRPr="000B01A4" w:rsidRDefault="00B467C3" w:rsidP="00B467C3">
      <w:pPr>
        <w:ind w:firstLine="720"/>
        <w:jc w:val="both"/>
        <w:rPr>
          <w:color w:val="FF0000"/>
        </w:rPr>
      </w:pPr>
    </w:p>
    <w:p w:rsidR="00B467C3" w:rsidRPr="009305B5" w:rsidRDefault="00B467C3" w:rsidP="00B467C3">
      <w:pPr>
        <w:ind w:firstLine="708"/>
        <w:jc w:val="both"/>
      </w:pPr>
      <w:r w:rsidRPr="009305B5">
        <w:rPr>
          <w:b/>
        </w:rPr>
        <w:t>Расходная часть бюджета</w:t>
      </w:r>
      <w:r w:rsidRPr="009305B5">
        <w:t xml:space="preserve"> сельского поселения Сосновка  является инструментом для решения вопросов местного значения органами местного самоуправления сельского поселения. </w:t>
      </w:r>
    </w:p>
    <w:p w:rsidR="00B467C3" w:rsidRPr="009305B5" w:rsidRDefault="00B467C3" w:rsidP="00B467C3">
      <w:pPr>
        <w:ind w:firstLine="720"/>
        <w:jc w:val="both"/>
      </w:pPr>
      <w:r w:rsidRPr="009305B5">
        <w:t>По оценке 2015 года расходы сельского поселения Сосновка  составят 19 215,6 тыс. руб. Прогноз расходных обязательств на 2016 год на реализацию муниципальных программ поселения и осуществление непрограммных направлений деятельности составил 18 946,3 тыс. руб.</w:t>
      </w:r>
    </w:p>
    <w:p w:rsidR="00B467C3" w:rsidRPr="000B01A4" w:rsidRDefault="00B467C3" w:rsidP="00B467C3">
      <w:pPr>
        <w:jc w:val="center"/>
        <w:rPr>
          <w:b/>
          <w:color w:val="FF0000"/>
        </w:rPr>
      </w:pPr>
    </w:p>
    <w:p w:rsidR="00B467C3" w:rsidRPr="00911D22" w:rsidRDefault="00B467C3" w:rsidP="00B467C3">
      <w:pPr>
        <w:ind w:firstLine="709"/>
        <w:jc w:val="both"/>
      </w:pPr>
      <w:r w:rsidRPr="00911D22">
        <w:t xml:space="preserve">Основным источником дохода населения является заработная плата. Среднемесячная номинальная начисленная </w:t>
      </w:r>
      <w:r w:rsidRPr="00911D22">
        <w:rPr>
          <w:b/>
        </w:rPr>
        <w:t>зарабо</w:t>
      </w:r>
      <w:r w:rsidRPr="00911D22">
        <w:rPr>
          <w:b/>
        </w:rPr>
        <w:t>т</w:t>
      </w:r>
      <w:r w:rsidRPr="00911D22">
        <w:rPr>
          <w:b/>
        </w:rPr>
        <w:t>ная плата</w:t>
      </w:r>
      <w:r w:rsidRPr="00911D22">
        <w:t xml:space="preserve"> работников крупных и средних организаций посел</w:t>
      </w:r>
      <w:r w:rsidRPr="00911D22">
        <w:t>е</w:t>
      </w:r>
      <w:r w:rsidRPr="00911D22">
        <w:t>ния за 201</w:t>
      </w:r>
      <w:r>
        <w:t>4</w:t>
      </w:r>
      <w:r w:rsidRPr="00911D22">
        <w:t xml:space="preserve"> год сложилась в размере 6</w:t>
      </w:r>
      <w:r>
        <w:t>7,233</w:t>
      </w:r>
      <w:r w:rsidRPr="00911D22">
        <w:t xml:space="preserve"> тыс.</w:t>
      </w:r>
      <w:r w:rsidRPr="00911D22">
        <w:rPr>
          <w:sz w:val="20"/>
        </w:rPr>
        <w:t xml:space="preserve"> </w:t>
      </w:r>
      <w:r w:rsidRPr="00911D22">
        <w:t>рублей, в оценке 201</w:t>
      </w:r>
      <w:r>
        <w:t>5</w:t>
      </w:r>
      <w:r w:rsidRPr="00911D22">
        <w:t xml:space="preserve"> года составит </w:t>
      </w:r>
      <w:r>
        <w:t>71,939</w:t>
      </w:r>
      <w:r w:rsidRPr="00911D22">
        <w:t xml:space="preserve"> тыс. руб. В прогнозном 201</w:t>
      </w:r>
      <w:r>
        <w:t>6</w:t>
      </w:r>
      <w:r w:rsidRPr="00911D22">
        <w:t xml:space="preserve"> году рост среднемеся</w:t>
      </w:r>
      <w:r>
        <w:t xml:space="preserve">чной заработной платы составит </w:t>
      </w:r>
      <w:r w:rsidRPr="00911D22">
        <w:t>107,</w:t>
      </w:r>
      <w:r>
        <w:t>1</w:t>
      </w:r>
      <w:r w:rsidRPr="00911D22">
        <w:t>%, в 201</w:t>
      </w:r>
      <w:r>
        <w:t>6</w:t>
      </w:r>
      <w:r w:rsidRPr="00911D22">
        <w:t xml:space="preserve"> – 10</w:t>
      </w:r>
      <w:r>
        <w:t>7,4</w:t>
      </w:r>
      <w:r w:rsidRPr="00911D22">
        <w:t>%, в 201</w:t>
      </w:r>
      <w:r>
        <w:t>8</w:t>
      </w:r>
      <w:r w:rsidRPr="00911D22">
        <w:t xml:space="preserve"> -1</w:t>
      </w:r>
      <w:r>
        <w:t>09,2</w:t>
      </w:r>
      <w:r w:rsidRPr="00911D22">
        <w:t xml:space="preserve"> %.</w:t>
      </w:r>
    </w:p>
    <w:p w:rsidR="00B467C3" w:rsidRPr="00911D22" w:rsidRDefault="00B467C3" w:rsidP="00B467C3">
      <w:pPr>
        <w:ind w:firstLine="720"/>
        <w:jc w:val="both"/>
      </w:pPr>
      <w:r w:rsidRPr="00911D22">
        <w:rPr>
          <w:b/>
        </w:rPr>
        <w:t>Среднедушевые денежные доходы</w:t>
      </w:r>
      <w:r w:rsidRPr="00911D22">
        <w:t xml:space="preserve"> населения оценочно за 201</w:t>
      </w:r>
      <w:r>
        <w:t>5</w:t>
      </w:r>
      <w:r w:rsidRPr="00911D22">
        <w:t xml:space="preserve"> год составят 7</w:t>
      </w:r>
      <w:r>
        <w:t>7,287</w:t>
      </w:r>
      <w:r w:rsidRPr="00911D22">
        <w:t xml:space="preserve"> тыс. рублей. В прогнозном 201</w:t>
      </w:r>
      <w:r>
        <w:t>6</w:t>
      </w:r>
      <w:r w:rsidRPr="00911D22">
        <w:t xml:space="preserve"> году рост денежных доходов составит 107,1%, в 201</w:t>
      </w:r>
      <w:r>
        <w:t>7</w:t>
      </w:r>
      <w:r w:rsidRPr="00911D22">
        <w:t xml:space="preserve"> - 201</w:t>
      </w:r>
      <w:r>
        <w:t>8</w:t>
      </w:r>
      <w:r w:rsidRPr="00911D22">
        <w:t xml:space="preserve"> годы 10</w:t>
      </w:r>
      <w:r>
        <w:t>7,4</w:t>
      </w:r>
      <w:r w:rsidRPr="00911D22">
        <w:t>-</w:t>
      </w:r>
      <w:r>
        <w:t>109,2</w:t>
      </w:r>
      <w:r w:rsidRPr="00911D22">
        <w:t xml:space="preserve"> % соответственно. </w:t>
      </w:r>
    </w:p>
    <w:p w:rsidR="00B467C3" w:rsidRDefault="00B467C3" w:rsidP="00B467C3">
      <w:pPr>
        <w:ind w:firstLine="720"/>
        <w:jc w:val="both"/>
      </w:pPr>
    </w:p>
    <w:p w:rsidR="00B467C3" w:rsidRDefault="00B467C3" w:rsidP="00B467C3">
      <w:pPr>
        <w:ind w:firstLine="720"/>
        <w:jc w:val="both"/>
      </w:pPr>
    </w:p>
    <w:p w:rsidR="00B467C3" w:rsidRPr="00911D22" w:rsidRDefault="00B467C3" w:rsidP="00B467C3">
      <w:pPr>
        <w:ind w:firstLine="720"/>
        <w:jc w:val="center"/>
        <w:rPr>
          <w:b/>
        </w:rPr>
      </w:pPr>
      <w:r w:rsidRPr="00911D22">
        <w:t>__________</w:t>
      </w:r>
      <w:r>
        <w:t>_____</w:t>
      </w:r>
    </w:p>
    <w:p w:rsidR="00B467C3" w:rsidRPr="00AB0BFE" w:rsidRDefault="00B467C3" w:rsidP="00B467C3">
      <w:pPr>
        <w:ind w:firstLine="720"/>
        <w:jc w:val="both"/>
      </w:pPr>
    </w:p>
    <w:p w:rsidR="001A0347" w:rsidRDefault="001A0347"/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1E" w:rsidRDefault="00100D1E" w:rsidP="00B467C3">
      <w:r>
        <w:separator/>
      </w:r>
    </w:p>
  </w:endnote>
  <w:endnote w:type="continuationSeparator" w:id="0">
    <w:p w:rsidR="00100D1E" w:rsidRDefault="00100D1E" w:rsidP="00B4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0D" w:rsidRDefault="00100D1E" w:rsidP="00603D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F5A0D" w:rsidRDefault="00100D1E" w:rsidP="00603DD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1E" w:rsidRDefault="00100D1E" w:rsidP="00B467C3">
      <w:r>
        <w:separator/>
      </w:r>
    </w:p>
  </w:footnote>
  <w:footnote w:type="continuationSeparator" w:id="0">
    <w:p w:rsidR="00100D1E" w:rsidRDefault="00100D1E" w:rsidP="00B4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9D" w:rsidRDefault="00100D1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376B9D" w:rsidRDefault="00100D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2527"/>
      <w:docPartObj>
        <w:docPartGallery w:val="Page Numbers (Top of Page)"/>
        <w:docPartUnique/>
      </w:docPartObj>
    </w:sdtPr>
    <w:sdtContent>
      <w:p w:rsidR="00B467C3" w:rsidRDefault="00B467C3" w:rsidP="00B467C3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B0BFE" w:rsidRPr="00AB0BFE" w:rsidRDefault="00100D1E">
    <w:pPr>
      <w:pStyle w:val="a8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01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C3"/>
    <w:rsid w:val="00100D1E"/>
    <w:rsid w:val="00114C86"/>
    <w:rsid w:val="001A0347"/>
    <w:rsid w:val="001D1DAE"/>
    <w:rsid w:val="00270644"/>
    <w:rsid w:val="003A2244"/>
    <w:rsid w:val="00AA2F44"/>
    <w:rsid w:val="00B467C3"/>
    <w:rsid w:val="00BB028B"/>
    <w:rsid w:val="00C3527C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7C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67C3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B467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467C3"/>
    <w:pPr>
      <w:keepNext/>
      <w:jc w:val="center"/>
      <w:outlineLvl w:val="4"/>
    </w:pPr>
    <w:rPr>
      <w:b/>
      <w:spacing w:val="36"/>
      <w:sz w:val="32"/>
      <w:szCs w:val="20"/>
    </w:rPr>
  </w:style>
  <w:style w:type="paragraph" w:styleId="6">
    <w:name w:val="heading 6"/>
    <w:basedOn w:val="a"/>
    <w:next w:val="a"/>
    <w:link w:val="60"/>
    <w:qFormat/>
    <w:rsid w:val="00B467C3"/>
    <w:pPr>
      <w:keepNext/>
      <w:tabs>
        <w:tab w:val="left" w:pos="1134"/>
      </w:tabs>
      <w:ind w:left="567"/>
      <w:outlineLvl w:val="5"/>
    </w:pPr>
    <w:rPr>
      <w:szCs w:val="20"/>
    </w:rPr>
  </w:style>
  <w:style w:type="paragraph" w:styleId="8">
    <w:name w:val="heading 8"/>
    <w:basedOn w:val="a"/>
    <w:next w:val="a"/>
    <w:link w:val="80"/>
    <w:qFormat/>
    <w:rsid w:val="00B467C3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46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7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7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7C3"/>
    <w:rPr>
      <w:rFonts w:ascii="Times New Roman" w:eastAsia="Times New Roman" w:hAnsi="Times New Roman" w:cs="Times New Roman"/>
      <w:b/>
      <w:spacing w:val="36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67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67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467C3"/>
    <w:rPr>
      <w:color w:val="0000FF"/>
      <w:u w:val="single"/>
    </w:rPr>
  </w:style>
  <w:style w:type="character" w:styleId="a4">
    <w:name w:val="FollowedHyperlink"/>
    <w:rsid w:val="00B467C3"/>
    <w:rPr>
      <w:color w:val="800080"/>
      <w:u w:val="single"/>
    </w:rPr>
  </w:style>
  <w:style w:type="paragraph" w:customStyle="1" w:styleId="xl24">
    <w:name w:val="xl24"/>
    <w:basedOn w:val="a"/>
    <w:rsid w:val="00B467C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"/>
    <w:rsid w:val="00B467C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">
    <w:name w:val="xl26"/>
    <w:basedOn w:val="a"/>
    <w:rsid w:val="00B467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rsid w:val="00B467C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B467C3"/>
    <w:pP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"/>
    <w:rsid w:val="00B467C3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B467C3"/>
    <w:pP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rsid w:val="00B467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rsid w:val="00B467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3">
    <w:name w:val="xl33"/>
    <w:basedOn w:val="a"/>
    <w:rsid w:val="00B467C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B467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B467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">
    <w:name w:val="xl36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9">
    <w:name w:val="xl3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0">
    <w:name w:val="xl4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1">
    <w:name w:val="xl4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">
    <w:name w:val="xl42"/>
    <w:basedOn w:val="a"/>
    <w:rsid w:val="00B467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5">
    <w:name w:val="xl45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6">
    <w:name w:val="xl46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7">
    <w:name w:val="xl47"/>
    <w:basedOn w:val="a"/>
    <w:rsid w:val="00B467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8">
    <w:name w:val="xl48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9">
    <w:name w:val="xl49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0">
    <w:name w:val="xl50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1">
    <w:name w:val="xl51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2">
    <w:name w:val="xl52"/>
    <w:basedOn w:val="a"/>
    <w:rsid w:val="00B467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rsid w:val="00B46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55">
    <w:name w:val="xl55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56">
    <w:name w:val="xl56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57">
    <w:name w:val="xl57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9">
    <w:name w:val="xl59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0">
    <w:name w:val="xl60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2">
    <w:name w:val="xl62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467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67">
    <w:name w:val="xl67"/>
    <w:basedOn w:val="a"/>
    <w:rsid w:val="00B46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68">
    <w:name w:val="xl68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69">
    <w:name w:val="xl69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70">
    <w:name w:val="xl7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71">
    <w:name w:val="xl71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72">
    <w:name w:val="xl72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73">
    <w:name w:val="xl7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74">
    <w:name w:val="xl7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75">
    <w:name w:val="xl75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1">
    <w:name w:val="xl8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2">
    <w:name w:val="xl82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3">
    <w:name w:val="xl8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4">
    <w:name w:val="xl8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5">
    <w:name w:val="xl85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6">
    <w:name w:val="xl8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7">
    <w:name w:val="xl8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88">
    <w:name w:val="xl88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9">
    <w:name w:val="xl89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90">
    <w:name w:val="xl9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91">
    <w:name w:val="xl9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92">
    <w:name w:val="xl92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93">
    <w:name w:val="xl9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94">
    <w:name w:val="xl9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95">
    <w:name w:val="xl95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96">
    <w:name w:val="xl96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0">
    <w:name w:val="xl100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01">
    <w:name w:val="xl10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02">
    <w:name w:val="xl102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103">
    <w:name w:val="xl10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104">
    <w:name w:val="xl10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05">
    <w:name w:val="xl105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6">
    <w:name w:val="xl10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8">
    <w:name w:val="xl108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9">
    <w:name w:val="xl10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2">
    <w:name w:val="xl112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3">
    <w:name w:val="xl11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4">
    <w:name w:val="xl114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5">
    <w:name w:val="xl115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6">
    <w:name w:val="xl11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7">
    <w:name w:val="xl11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18">
    <w:name w:val="xl118"/>
    <w:basedOn w:val="a"/>
    <w:rsid w:val="00B467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9">
    <w:name w:val="xl119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0">
    <w:name w:val="xl120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1">
    <w:name w:val="xl121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2">
    <w:name w:val="xl122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4">
    <w:name w:val="xl124"/>
    <w:basedOn w:val="a"/>
    <w:rsid w:val="00B46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26">
    <w:name w:val="xl126"/>
    <w:basedOn w:val="a"/>
    <w:rsid w:val="00B46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27">
    <w:name w:val="xl127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28">
    <w:name w:val="xl128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29">
    <w:name w:val="xl129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2">
    <w:name w:val="xl132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3">
    <w:name w:val="xl133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4">
    <w:name w:val="xl134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135">
    <w:name w:val="xl135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36">
    <w:name w:val="xl136"/>
    <w:basedOn w:val="a"/>
    <w:rsid w:val="00B467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7">
    <w:name w:val="xl137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38">
    <w:name w:val="xl138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39">
    <w:name w:val="xl139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40">
    <w:name w:val="xl140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41">
    <w:name w:val="xl141"/>
    <w:basedOn w:val="a"/>
    <w:rsid w:val="00B467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6">
    <w:name w:val="xl146"/>
    <w:basedOn w:val="a"/>
    <w:rsid w:val="00B467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B467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B467C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9">
    <w:name w:val="xl149"/>
    <w:basedOn w:val="a"/>
    <w:rsid w:val="00B46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B467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B467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160">
    <w:name w:val="xl16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161">
    <w:name w:val="xl16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162">
    <w:name w:val="xl162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69">
    <w:name w:val="xl16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70">
    <w:name w:val="xl17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171">
    <w:name w:val="xl17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8080"/>
      <w:sz w:val="16"/>
      <w:szCs w:val="16"/>
    </w:rPr>
  </w:style>
  <w:style w:type="paragraph" w:customStyle="1" w:styleId="xl172">
    <w:name w:val="xl172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73">
    <w:name w:val="xl17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i/>
      <w:iCs/>
      <w:color w:val="008080"/>
      <w:sz w:val="16"/>
      <w:szCs w:val="16"/>
    </w:rPr>
  </w:style>
  <w:style w:type="paragraph" w:customStyle="1" w:styleId="xl174">
    <w:name w:val="xl174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75">
    <w:name w:val="xl175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76">
    <w:name w:val="xl17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77">
    <w:name w:val="xl177"/>
    <w:basedOn w:val="a"/>
    <w:rsid w:val="00B467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8">
    <w:name w:val="xl178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8080"/>
      <w:sz w:val="16"/>
      <w:szCs w:val="16"/>
    </w:rPr>
  </w:style>
  <w:style w:type="paragraph" w:customStyle="1" w:styleId="xl179">
    <w:name w:val="xl179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0">
    <w:name w:val="xl180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1">
    <w:name w:val="xl181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2">
    <w:name w:val="xl182"/>
    <w:basedOn w:val="a"/>
    <w:rsid w:val="00B467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3">
    <w:name w:val="xl183"/>
    <w:basedOn w:val="a"/>
    <w:rsid w:val="00B467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4">
    <w:name w:val="xl184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B467C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9">
    <w:name w:val="xl18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0">
    <w:name w:val="xl19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91">
    <w:name w:val="xl191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92">
    <w:name w:val="xl192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93">
    <w:name w:val="xl193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95">
    <w:name w:val="xl195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6">
    <w:name w:val="xl19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7">
    <w:name w:val="xl19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8">
    <w:name w:val="xl198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99">
    <w:name w:val="xl19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00">
    <w:name w:val="xl20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01">
    <w:name w:val="xl20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02">
    <w:name w:val="xl202"/>
    <w:basedOn w:val="a"/>
    <w:rsid w:val="00B467C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03">
    <w:name w:val="xl203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4">
    <w:name w:val="xl204"/>
    <w:basedOn w:val="a"/>
    <w:rsid w:val="00B46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5">
    <w:name w:val="xl205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6">
    <w:name w:val="xl206"/>
    <w:basedOn w:val="a"/>
    <w:rsid w:val="00B467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7">
    <w:name w:val="xl207"/>
    <w:basedOn w:val="a"/>
    <w:rsid w:val="00B467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208">
    <w:name w:val="xl208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10">
    <w:name w:val="xl210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11">
    <w:name w:val="xl211"/>
    <w:basedOn w:val="a"/>
    <w:rsid w:val="00B467C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12">
    <w:name w:val="xl212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B467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B467C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8">
    <w:name w:val="xl218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9">
    <w:name w:val="xl219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0">
    <w:name w:val="xl220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1">
    <w:name w:val="xl22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22">
    <w:name w:val="xl222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5">
    <w:name w:val="xl225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26">
    <w:name w:val="xl226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27">
    <w:name w:val="xl22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9">
    <w:name w:val="xl229"/>
    <w:basedOn w:val="a"/>
    <w:rsid w:val="00B467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1">
    <w:name w:val="xl231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32">
    <w:name w:val="xl232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233">
    <w:name w:val="xl233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4">
    <w:name w:val="xl234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5">
    <w:name w:val="xl235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6">
    <w:name w:val="xl236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237">
    <w:name w:val="xl237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238">
    <w:name w:val="xl238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9">
    <w:name w:val="xl239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0">
    <w:name w:val="xl240"/>
    <w:basedOn w:val="a"/>
    <w:rsid w:val="00B467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241">
    <w:name w:val="xl241"/>
    <w:basedOn w:val="a"/>
    <w:rsid w:val="00B467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242">
    <w:name w:val="xl242"/>
    <w:basedOn w:val="a"/>
    <w:rsid w:val="00B467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244">
    <w:name w:val="xl244"/>
    <w:basedOn w:val="a"/>
    <w:rsid w:val="00B46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rsid w:val="00B467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247">
    <w:name w:val="xl247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248">
    <w:name w:val="xl248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B46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251">
    <w:name w:val="xl251"/>
    <w:basedOn w:val="a"/>
    <w:rsid w:val="00B46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252">
    <w:name w:val="xl252"/>
    <w:basedOn w:val="a"/>
    <w:rsid w:val="00B46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253">
    <w:name w:val="xl253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254">
    <w:name w:val="xl254"/>
    <w:basedOn w:val="a"/>
    <w:rsid w:val="00B46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5">
    <w:name w:val="xl255"/>
    <w:basedOn w:val="a"/>
    <w:rsid w:val="00B467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6">
    <w:name w:val="xl256"/>
    <w:basedOn w:val="a"/>
    <w:rsid w:val="00B467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7">
    <w:name w:val="xl257"/>
    <w:basedOn w:val="a"/>
    <w:rsid w:val="00B467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58">
    <w:name w:val="xl258"/>
    <w:basedOn w:val="a"/>
    <w:rsid w:val="00B467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B467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0">
    <w:name w:val="xl260"/>
    <w:basedOn w:val="a"/>
    <w:rsid w:val="00B467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2">
    <w:name w:val="Body Text 2"/>
    <w:basedOn w:val="a"/>
    <w:link w:val="20"/>
    <w:rsid w:val="00B467C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46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46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6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67C3"/>
  </w:style>
  <w:style w:type="paragraph" w:styleId="a8">
    <w:name w:val="header"/>
    <w:basedOn w:val="a"/>
    <w:link w:val="a9"/>
    <w:uiPriority w:val="99"/>
    <w:rsid w:val="00B467C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B467C3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line number"/>
    <w:basedOn w:val="a0"/>
    <w:rsid w:val="00B467C3"/>
  </w:style>
  <w:style w:type="paragraph" w:styleId="ab">
    <w:name w:val="Balloon Text"/>
    <w:basedOn w:val="a"/>
    <w:link w:val="ac"/>
    <w:semiHidden/>
    <w:rsid w:val="00B46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467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467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67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B467C3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B46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B467C3"/>
    <w:pPr>
      <w:spacing w:after="120"/>
    </w:pPr>
    <w:rPr>
      <w:szCs w:val="20"/>
      <w:lang/>
    </w:rPr>
  </w:style>
  <w:style w:type="character" w:customStyle="1" w:styleId="af0">
    <w:name w:val="Основной текст Знак"/>
    <w:basedOn w:val="a0"/>
    <w:link w:val="af"/>
    <w:rsid w:val="00B467C3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oncharenkoVI\&#1056;&#1072;&#1073;&#1086;&#1095;&#1080;&#1081;%20&#1089;&#1090;&#1086;&#1083;\&#1076;&#1080;&#1072;&#1075;&#1088;&#1072;&#1084;&#1084;&#1099;%20&#1082;%20&#1087;&#1088;&#1086;&#1075;&#1085;&#1086;&#1079;&#1091;%202015-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oncharenkoVI\&#1056;&#1072;&#1073;&#1086;&#1095;&#1080;&#1081;%20&#1089;&#1090;&#1086;&#1083;\&#1076;&#1080;&#1072;&#1075;&#1088;&#1072;&#1084;&#1084;&#1099;%20&#1082;%20&#1087;&#1088;&#1086;&#1075;&#1085;&#1086;&#1079;&#1091;%202015-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Script MT Bold"/>
                <a:ea typeface="Script MT Bold"/>
                <a:cs typeface="Script MT Bold"/>
              </a:defRPr>
            </a:pPr>
            <a:r>
              <a:rPr lang="ru-RU"/>
              <a:t>Динамика объемов промышленного производства на территории             с.п.  Сосновка,  млн. рублей</a:t>
            </a:r>
          </a:p>
        </c:rich>
      </c:tx>
      <c:layout>
        <c:manualLayout>
          <c:xMode val="edge"/>
          <c:yMode val="edge"/>
          <c:x val="0.13203104931032575"/>
          <c:y val="4.1928402072417496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8373316331960693E-2"/>
          <c:y val="0.21750995815783636"/>
          <c:w val="0.88369161047444789"/>
          <c:h val="0.59055234813111446"/>
        </c:manualLayout>
      </c:layout>
      <c:barChart>
        <c:barDir val="col"/>
        <c:grouping val="clustered"/>
        <c:ser>
          <c:idx val="1"/>
          <c:order val="0"/>
          <c:tx>
            <c:strRef>
              <c:f>Сосновка!$A$3</c:f>
              <c:strCache>
                <c:ptCount val="1"/>
                <c:pt idx="0">
                  <c:v>  Объем промышленного производства, млн. руб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75000"/>
                  </a:srgbClr>
                </a:gs>
                <a:gs pos="30000">
                  <a:srgbClr val="F79646"/>
                </a:gs>
                <a:gs pos="70000">
                  <a:schemeClr val="accent6">
                    <a:lumMod val="75000"/>
                  </a:schemeClr>
                </a:gs>
                <a:gs pos="100000">
                  <a:srgbClr val="F79646"/>
                </a:gs>
              </a:gsLst>
              <a:lin ang="3000000" scaled="0"/>
              <a:tileRect/>
            </a:gradFill>
            <a:ln w="12700">
              <a:solidFill>
                <a:srgbClr val="000000"/>
              </a:solidFill>
              <a:prstDash val="solid"/>
            </a:ln>
            <a:effectLst/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dLbls>
            <c:dLbl>
              <c:idx val="0"/>
              <c:layout>
                <c:manualLayout>
                  <c:x val="2.7277686852155095E-3"/>
                  <c:y val="-5.704727900882911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6366612111292881E-3"/>
                  <c:y val="-3.841185304680021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4555373704313101E-4"/>
                  <c:y val="-1.138454742853904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0911074740861896E-3"/>
                  <c:y val="-3.291497055303221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55537370430987E-4"/>
                  <c:y val="-1.1464199942338165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6493993351211697E-18"/>
                  <c:y val="-3.6932012097805954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Сосновка!$B$2:$F$2</c:f>
              <c:strCache>
                <c:ptCount val="5"/>
                <c:pt idx="0">
                  <c:v>2014 год           отчет</c:v>
                </c:pt>
                <c:pt idx="1">
                  <c:v>2015 год                      оценка</c:v>
                </c:pt>
                <c:pt idx="2">
                  <c:v>2016 год                    прогноз</c:v>
                </c:pt>
                <c:pt idx="3">
                  <c:v>2017 год                     прогноз</c:v>
                </c:pt>
                <c:pt idx="4">
                  <c:v>2018 год                   прогноз</c:v>
                </c:pt>
              </c:strCache>
            </c:strRef>
          </c:cat>
          <c:val>
            <c:numRef>
              <c:f>Сосновка!$B$3:$F$3</c:f>
              <c:numCache>
                <c:formatCode>#,##0.00</c:formatCode>
                <c:ptCount val="5"/>
                <c:pt idx="0">
                  <c:v>9.327104880000002</c:v>
                </c:pt>
                <c:pt idx="1">
                  <c:v>11.425434860008259</c:v>
                </c:pt>
                <c:pt idx="2">
                  <c:v>12.614952629317076</c:v>
                </c:pt>
                <c:pt idx="3">
                  <c:v>13.932987589380403</c:v>
                </c:pt>
                <c:pt idx="4">
                  <c:v>15.140687078240802</c:v>
                </c:pt>
              </c:numCache>
            </c:numRef>
          </c:val>
        </c:ser>
        <c:gapWidth val="81"/>
        <c:overlap val="100"/>
        <c:axId val="109884160"/>
        <c:axId val="109885696"/>
      </c:barChart>
      <c:catAx>
        <c:axId val="10988416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885696"/>
        <c:crossesAt val="0"/>
        <c:lblAlgn val="ctr"/>
        <c:lblOffset val="100"/>
        <c:tickLblSkip val="1"/>
        <c:tickMarkSkip val="1"/>
      </c:catAx>
      <c:valAx>
        <c:axId val="109885696"/>
        <c:scaling>
          <c:orientation val="minMax"/>
          <c:max val="17"/>
          <c:min val="2"/>
        </c:scaling>
        <c:axPos val="l"/>
        <c:numFmt formatCode="0" sourceLinked="0"/>
        <c:majorTickMark val="none"/>
        <c:tickLblPos val="none"/>
        <c:spPr>
          <a:noFill/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884160"/>
        <c:crosses val="autoZero"/>
        <c:crossBetween val="between"/>
        <c:majorUnit val="4"/>
        <c:minorUnit val="4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развития потребительского рынка на территории                         с.п.  Сосновка,</a:t>
            </a:r>
            <a:r>
              <a:rPr lang="ru-RU" baseline="0"/>
              <a:t>  млн.</a:t>
            </a:r>
            <a:r>
              <a:rPr lang="ru-RU"/>
              <a:t> рублей</a:t>
            </a:r>
          </a:p>
        </c:rich>
      </c:tx>
      <c:layout>
        <c:manualLayout>
          <c:xMode val="edge"/>
          <c:yMode val="edge"/>
          <c:x val="0.18312113258569968"/>
          <c:y val="4.41178186060075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533334456237945E-2"/>
          <c:y val="0.21801967647048004"/>
          <c:w val="0.88183918427547969"/>
          <c:h val="0.50031096218622817"/>
        </c:manualLayout>
      </c:layout>
      <c:areaChart>
        <c:grouping val="stacked"/>
        <c:ser>
          <c:idx val="0"/>
          <c:order val="0"/>
          <c:tx>
            <c:strRef>
              <c:f>Сосновка!$A$19</c:f>
              <c:strCache>
                <c:ptCount val="1"/>
                <c:pt idx="0">
                  <c:v>Розничный товарооборот</c:v>
                </c:pt>
              </c:strCache>
            </c:strRef>
          </c:tx>
          <c:spPr>
            <a:gradFill>
              <a:gsLst>
                <a:gs pos="0">
                  <a:srgbClr val="F79646"/>
                </a:gs>
                <a:gs pos="30000">
                  <a:srgbClr val="F79646">
                    <a:lumMod val="75000"/>
                  </a:srgbClr>
                </a:gs>
                <a:gs pos="70000">
                  <a:srgbClr val="F79646">
                    <a:lumMod val="75000"/>
                  </a:srgbClr>
                </a:gs>
                <a:gs pos="100000">
                  <a:srgbClr val="F79646"/>
                </a:gs>
              </a:gsLst>
              <a:lin ang="1800000" scaled="0"/>
            </a:gra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5.4140127388535034E-2"/>
                  <c:y val="1.1594079195385205E-2"/>
                </c:manualLayout>
              </c:layout>
              <c:showVal val="1"/>
            </c:dLbl>
            <c:dLbl>
              <c:idx val="1"/>
              <c:layout>
                <c:manualLayout>
                  <c:x val="2.1337412441279398E-2"/>
                  <c:y val="1.0489867628335115E-2"/>
                </c:manualLayout>
              </c:layout>
              <c:showVal val="1"/>
            </c:dLbl>
            <c:dLbl>
              <c:idx val="2"/>
              <c:layout>
                <c:manualLayout>
                  <c:x val="3.3970276008492592E-3"/>
                  <c:y val="3.3200321504527463E-3"/>
                </c:manualLayout>
              </c:layout>
              <c:showVal val="1"/>
            </c:dLbl>
            <c:dLbl>
              <c:idx val="3"/>
              <c:layout>
                <c:manualLayout>
                  <c:x val="-3.9278131634819602E-3"/>
                  <c:y val="2.8451728086834857E-7"/>
                </c:manualLayout>
              </c:layout>
              <c:showVal val="1"/>
            </c:dLbl>
            <c:dLbl>
              <c:idx val="4"/>
              <c:layout>
                <c:manualLayout>
                  <c:x val="-4.0356715014595923E-2"/>
                  <c:y val="-9.3859416756560425E-4"/>
                </c:manualLayout>
              </c:layout>
              <c:showVal val="1"/>
            </c:dLbl>
            <c:dLbl>
              <c:idx val="5"/>
              <c:layout>
                <c:manualLayout>
                  <c:x val="-4.2462845010615723E-2"/>
                  <c:y val="-4.8936972309355739E-4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Сосновка!$B$18:$F$18</c:f>
              <c:strCache>
                <c:ptCount val="5"/>
                <c:pt idx="0">
                  <c:v>2014 год           отчет</c:v>
                </c:pt>
                <c:pt idx="1">
                  <c:v>2015 год                      оценка</c:v>
                </c:pt>
                <c:pt idx="2">
                  <c:v>2016 год                    прогноз</c:v>
                </c:pt>
                <c:pt idx="3">
                  <c:v>2017 год                     прогноз</c:v>
                </c:pt>
                <c:pt idx="4">
                  <c:v>2018 год                   прогноз</c:v>
                </c:pt>
              </c:strCache>
            </c:strRef>
          </c:cat>
          <c:val>
            <c:numRef>
              <c:f>Сосновка!$B$19:$F$19</c:f>
              <c:numCache>
                <c:formatCode>#,##0.000</c:formatCode>
                <c:ptCount val="5"/>
                <c:pt idx="0">
                  <c:v>105.4556401</c:v>
                </c:pt>
                <c:pt idx="1">
                  <c:v>125.3151459</c:v>
                </c:pt>
                <c:pt idx="2">
                  <c:v>138.37693034909489</c:v>
                </c:pt>
                <c:pt idx="3">
                  <c:v>154.23446583539865</c:v>
                </c:pt>
                <c:pt idx="4">
                  <c:v>170.50813818623752</c:v>
                </c:pt>
              </c:numCache>
            </c:numRef>
          </c:val>
        </c:ser>
        <c:ser>
          <c:idx val="1"/>
          <c:order val="1"/>
          <c:tx>
            <c:strRef>
              <c:f>Сосновка!$A$20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75000"/>
                  </a:schemeClr>
                </a:gs>
                <a:gs pos="30000">
                  <a:srgbClr val="00B050"/>
                </a:gs>
              </a:gsLst>
              <a:lin ang="1800000" scaled="0"/>
            </a:gra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4.7239915074309947E-2"/>
                  <c:y val="-7.8779989899636811E-3"/>
                </c:manualLayout>
              </c:layout>
              <c:showVal val="1"/>
            </c:dLbl>
            <c:dLbl>
              <c:idx val="1"/>
              <c:layout>
                <c:manualLayout>
                  <c:x val="2.1868198003911942E-2"/>
                  <c:y val="4.4450134790061813E-3"/>
                </c:manualLayout>
              </c:layout>
              <c:showVal val="1"/>
            </c:dLbl>
            <c:dLbl>
              <c:idx val="2"/>
              <c:layout>
                <c:manualLayout>
                  <c:x val="1.2738853503184713E-3"/>
                  <c:y val="9.5321824609322248E-3"/>
                </c:manualLayout>
              </c:layout>
              <c:showVal val="1"/>
            </c:dLbl>
            <c:dLbl>
              <c:idx val="3"/>
              <c:layout>
                <c:manualLayout>
                  <c:x val="1.2100239062473881E-3"/>
                  <c:y val="1.8004253533348983E-3"/>
                </c:manualLayout>
              </c:layout>
              <c:showVal val="1"/>
            </c:dLbl>
            <c:dLbl>
              <c:idx val="4"/>
              <c:layout>
                <c:manualLayout>
                  <c:x val="-2.8143379452402854E-2"/>
                  <c:y val="8.5952912916085252E-3"/>
                </c:manualLayout>
              </c:layout>
              <c:showVal val="1"/>
            </c:dLbl>
            <c:dLbl>
              <c:idx val="5"/>
              <c:layout>
                <c:manualLayout>
                  <c:x val="-4.1932059447983012E-2"/>
                  <c:y val="2.069009666474619E-2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Сосновка!$B$18:$F$18</c:f>
              <c:strCache>
                <c:ptCount val="5"/>
                <c:pt idx="0">
                  <c:v>2014 год           отчет</c:v>
                </c:pt>
                <c:pt idx="1">
                  <c:v>2015 год                      оценка</c:v>
                </c:pt>
                <c:pt idx="2">
                  <c:v>2016 год                    прогноз</c:v>
                </c:pt>
                <c:pt idx="3">
                  <c:v>2017 год                     прогноз</c:v>
                </c:pt>
                <c:pt idx="4">
                  <c:v>2018 год                   прогноз</c:v>
                </c:pt>
              </c:strCache>
            </c:strRef>
          </c:cat>
          <c:val>
            <c:numRef>
              <c:f>Сосновка!$B$20:$F$20</c:f>
              <c:numCache>
                <c:formatCode>#,##0.000</c:formatCode>
                <c:ptCount val="5"/>
                <c:pt idx="0">
                  <c:v>28.11524309999999</c:v>
                </c:pt>
                <c:pt idx="1">
                  <c:v>32.103414720000011</c:v>
                </c:pt>
                <c:pt idx="2">
                  <c:v>35.871265789871494</c:v>
                </c:pt>
                <c:pt idx="3">
                  <c:v>40.01148356985636</c:v>
                </c:pt>
                <c:pt idx="4">
                  <c:v>44.528127329948163</c:v>
                </c:pt>
              </c:numCache>
            </c:numRef>
          </c:val>
        </c:ser>
        <c:ser>
          <c:idx val="2"/>
          <c:order val="2"/>
          <c:tx>
            <c:strRef>
              <c:f>Сосновка!$A$21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gradFill>
              <a:gsLst>
                <a:gs pos="0">
                  <a:srgbClr val="FFFF00"/>
                </a:gs>
                <a:gs pos="30000">
                  <a:srgbClr val="FFC000"/>
                </a:gs>
              </a:gsLst>
              <a:lin ang="1800000" scaled="0"/>
            </a:gra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4.7770745675930017E-2"/>
                  <c:y val="-1.3220837543135034E-2"/>
                </c:manualLayout>
              </c:layout>
              <c:showVal val="1"/>
            </c:dLbl>
            <c:dLbl>
              <c:idx val="1"/>
              <c:layout>
                <c:manualLayout>
                  <c:x val="2.1231477834101363E-2"/>
                  <c:y val="-1.139077563089339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805560890254591E-3"/>
                </c:manualLayout>
              </c:layout>
              <c:showVal val="1"/>
            </c:dLbl>
            <c:dLbl>
              <c:idx val="3"/>
              <c:layout>
                <c:manualLayout>
                  <c:x val="-2.1231422505307951E-3"/>
                  <c:y val="2.3802715717445985E-3"/>
                </c:manualLayout>
              </c:layout>
              <c:showVal val="1"/>
            </c:dLbl>
            <c:dLbl>
              <c:idx val="4"/>
              <c:layout>
                <c:manualLayout>
                  <c:x val="-3.2604065052406581E-2"/>
                  <c:y val="6.301758429090339E-3"/>
                </c:manualLayout>
              </c:layout>
              <c:showVal val="1"/>
            </c:dLbl>
            <c:dLbl>
              <c:idx val="5"/>
              <c:layout>
                <c:manualLayout>
                  <c:x val="-3.7154989384288746E-2"/>
                  <c:y val="1.1227905454907636E-2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Сосновка!$B$18:$F$18</c:f>
              <c:strCache>
                <c:ptCount val="5"/>
                <c:pt idx="0">
                  <c:v>2014 год           отчет</c:v>
                </c:pt>
                <c:pt idx="1">
                  <c:v>2015 год                      оценка</c:v>
                </c:pt>
                <c:pt idx="2">
                  <c:v>2016 год                    прогноз</c:v>
                </c:pt>
                <c:pt idx="3">
                  <c:v>2017 год                     прогноз</c:v>
                </c:pt>
                <c:pt idx="4">
                  <c:v>2018 год                   прогноз</c:v>
                </c:pt>
              </c:strCache>
            </c:strRef>
          </c:cat>
          <c:val>
            <c:numRef>
              <c:f>Сосновка!$B$21:$F$21</c:f>
              <c:numCache>
                <c:formatCode>#,##0.000</c:formatCode>
                <c:ptCount val="5"/>
                <c:pt idx="0">
                  <c:v>14.589878000000001</c:v>
                </c:pt>
                <c:pt idx="1">
                  <c:v>17.842065384107244</c:v>
                </c:pt>
                <c:pt idx="2">
                  <c:v>20.266025868053518</c:v>
                </c:pt>
                <c:pt idx="3">
                  <c:v>22.976820758051918</c:v>
                </c:pt>
                <c:pt idx="4">
                  <c:v>25.949614569976319</c:v>
                </c:pt>
              </c:numCache>
            </c:numRef>
          </c:val>
        </c:ser>
        <c:axId val="136304512"/>
        <c:axId val="145039360"/>
      </c:areaChart>
      <c:catAx>
        <c:axId val="136304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039360"/>
        <c:crosses val="autoZero"/>
        <c:auto val="1"/>
        <c:lblAlgn val="ctr"/>
        <c:lblOffset val="100"/>
        <c:tickLblSkip val="1"/>
        <c:tickMarkSkip val="1"/>
      </c:catAx>
      <c:valAx>
        <c:axId val="145039360"/>
        <c:scaling>
          <c:orientation val="minMax"/>
          <c:max val="250"/>
          <c:min val="5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0"/>
        <c:majorTickMark val="none"/>
        <c:tickLblPos val="none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304512"/>
        <c:crosses val="autoZero"/>
        <c:crossBetween val="midCat"/>
        <c:majorUnit val="20"/>
        <c:minorUnit val="2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8973196532251663E-2"/>
          <c:y val="0.92986938036254241"/>
          <c:w val="0.90936085262069577"/>
          <c:h val="5.381774646590231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2759</Words>
  <Characters>15727</Characters>
  <Application>Microsoft Office Word</Application>
  <DocSecurity>0</DocSecurity>
  <Lines>131</Lines>
  <Paragraphs>36</Paragraphs>
  <ScaleCrop>false</ScaleCrop>
  <Company>Администрация СП Сосновка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cp:lastPrinted>2015-11-03T07:05:00Z</cp:lastPrinted>
  <dcterms:created xsi:type="dcterms:W3CDTF">2015-11-03T07:03:00Z</dcterms:created>
  <dcterms:modified xsi:type="dcterms:W3CDTF">2015-11-03T07:06:00Z</dcterms:modified>
</cp:coreProperties>
</file>